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72AF3" w14:textId="77777777" w:rsidR="00F41A15" w:rsidRDefault="00F41A15" w:rsidP="00F41A15">
      <w:pPr>
        <w:spacing w:after="0" w:line="240" w:lineRule="auto"/>
        <w:jc w:val="center"/>
        <w:rPr>
          <w:rFonts w:ascii="Arial" w:hAnsi="Arial" w:cs="Arial"/>
          <w:b/>
          <w:sz w:val="28"/>
          <w:szCs w:val="28"/>
        </w:rPr>
      </w:pPr>
      <w:r w:rsidRPr="00922896">
        <w:rPr>
          <w:rFonts w:ascii="Arial" w:hAnsi="Arial" w:cs="Arial"/>
          <w:b/>
          <w:sz w:val="28"/>
          <w:szCs w:val="28"/>
        </w:rPr>
        <w:t xml:space="preserve">Zabezpečení poskytování </w:t>
      </w:r>
    </w:p>
    <w:p w14:paraId="3AD77D93" w14:textId="77777777" w:rsidR="00F41A15" w:rsidRPr="00922896" w:rsidRDefault="00F41A15" w:rsidP="00F41A15">
      <w:pPr>
        <w:spacing w:after="0" w:line="240" w:lineRule="auto"/>
        <w:jc w:val="center"/>
        <w:rPr>
          <w:rFonts w:ascii="Arial" w:hAnsi="Arial" w:cs="Arial"/>
          <w:b/>
          <w:sz w:val="28"/>
          <w:szCs w:val="28"/>
        </w:rPr>
      </w:pPr>
      <w:r w:rsidRPr="00922896">
        <w:rPr>
          <w:rFonts w:ascii="Arial" w:hAnsi="Arial" w:cs="Arial"/>
          <w:b/>
          <w:sz w:val="28"/>
          <w:szCs w:val="28"/>
        </w:rPr>
        <w:t>pohotovostních služeb a prohlídek těl zemřelých</w:t>
      </w:r>
    </w:p>
    <w:p w14:paraId="77F94D4F" w14:textId="77777777" w:rsidR="00F41A15" w:rsidRDefault="00F41A15" w:rsidP="00F41A15">
      <w:pPr>
        <w:spacing w:after="0" w:line="240" w:lineRule="auto"/>
        <w:jc w:val="center"/>
        <w:rPr>
          <w:rFonts w:ascii="Arial" w:hAnsi="Arial" w:cs="Arial"/>
          <w:b/>
          <w:i/>
          <w:sz w:val="24"/>
          <w:szCs w:val="24"/>
        </w:rPr>
      </w:pPr>
    </w:p>
    <w:p w14:paraId="3217D8E5" w14:textId="77777777" w:rsidR="00D27F9F" w:rsidRDefault="00F41A15" w:rsidP="00F41A15">
      <w:pPr>
        <w:spacing w:after="0" w:line="240" w:lineRule="auto"/>
        <w:jc w:val="center"/>
        <w:rPr>
          <w:rFonts w:ascii="Arial" w:hAnsi="Arial" w:cs="Arial"/>
          <w:b/>
          <w:i/>
        </w:rPr>
      </w:pPr>
      <w:r w:rsidRPr="00F41A15">
        <w:rPr>
          <w:rFonts w:ascii="Arial" w:hAnsi="Arial" w:cs="Arial"/>
          <w:b/>
          <w:i/>
        </w:rPr>
        <w:t xml:space="preserve">Ustanovení zákona č. 372/2011 Sb., </w:t>
      </w:r>
    </w:p>
    <w:p w14:paraId="57E89325" w14:textId="77777777" w:rsidR="00F41A15" w:rsidRPr="00F41A15" w:rsidRDefault="00F41A15" w:rsidP="00F41A15">
      <w:pPr>
        <w:spacing w:after="0" w:line="240" w:lineRule="auto"/>
        <w:jc w:val="center"/>
        <w:rPr>
          <w:rFonts w:ascii="Arial" w:hAnsi="Arial" w:cs="Arial"/>
          <w:i/>
          <w:sz w:val="20"/>
          <w:szCs w:val="20"/>
        </w:rPr>
      </w:pPr>
      <w:r w:rsidRPr="00F41A15">
        <w:rPr>
          <w:rFonts w:ascii="Arial" w:hAnsi="Arial" w:cs="Arial"/>
          <w:b/>
          <w:i/>
        </w:rPr>
        <w:t>o zdravotních službách a podmínkách jejich poskytování (zákon o zdravotních službách), ve</w:t>
      </w:r>
      <w:r w:rsidR="00D27F9F">
        <w:rPr>
          <w:rFonts w:ascii="Arial" w:hAnsi="Arial" w:cs="Arial"/>
          <w:b/>
          <w:i/>
        </w:rPr>
        <w:t> </w:t>
      </w:r>
      <w:r w:rsidRPr="00F41A15">
        <w:rPr>
          <w:rFonts w:ascii="Arial" w:hAnsi="Arial" w:cs="Arial"/>
          <w:b/>
          <w:i/>
        </w:rPr>
        <w:t>znění pozdějších předpisů</w:t>
      </w:r>
    </w:p>
    <w:p w14:paraId="1061D700" w14:textId="77777777" w:rsidR="00F41A15" w:rsidRDefault="00F41A15" w:rsidP="00F41A15">
      <w:pPr>
        <w:spacing w:after="0" w:line="240" w:lineRule="auto"/>
        <w:jc w:val="both"/>
        <w:rPr>
          <w:rFonts w:ascii="Arial" w:hAnsi="Arial" w:cs="Arial"/>
          <w:sz w:val="20"/>
          <w:szCs w:val="20"/>
        </w:rPr>
      </w:pPr>
    </w:p>
    <w:p w14:paraId="1481C556" w14:textId="77777777" w:rsidR="00F41A15" w:rsidRDefault="00F41A15" w:rsidP="00F41A15">
      <w:pPr>
        <w:spacing w:after="0" w:line="240" w:lineRule="auto"/>
        <w:jc w:val="both"/>
        <w:rPr>
          <w:rFonts w:ascii="Arial" w:hAnsi="Arial" w:cs="Arial"/>
          <w:sz w:val="20"/>
          <w:szCs w:val="20"/>
        </w:rPr>
      </w:pPr>
    </w:p>
    <w:p w14:paraId="517C3FC5" w14:textId="77777777" w:rsidR="00F41A15" w:rsidRDefault="00F41A15" w:rsidP="00F41A15">
      <w:pPr>
        <w:spacing w:after="120" w:line="240" w:lineRule="auto"/>
        <w:jc w:val="center"/>
        <w:rPr>
          <w:rFonts w:ascii="Arial" w:hAnsi="Arial" w:cs="Arial"/>
          <w:b/>
          <w:sz w:val="20"/>
          <w:szCs w:val="20"/>
        </w:rPr>
      </w:pPr>
      <w:r w:rsidRPr="000A1FF8">
        <w:rPr>
          <w:rFonts w:ascii="Arial" w:hAnsi="Arial" w:cs="Arial"/>
          <w:b/>
          <w:sz w:val="20"/>
          <w:szCs w:val="20"/>
        </w:rPr>
        <w:t>§ 11</w:t>
      </w:r>
      <w:r>
        <w:rPr>
          <w:rFonts w:ascii="Arial" w:hAnsi="Arial" w:cs="Arial"/>
          <w:b/>
          <w:sz w:val="20"/>
          <w:szCs w:val="20"/>
        </w:rPr>
        <w:t>9 odst. 1</w:t>
      </w:r>
    </w:p>
    <w:p w14:paraId="26A74601" w14:textId="77777777" w:rsidR="00F41A15" w:rsidRPr="00F41A15" w:rsidRDefault="00F41A15" w:rsidP="00F41A15">
      <w:pPr>
        <w:pStyle w:val="Odstavecseseznamem"/>
        <w:numPr>
          <w:ilvl w:val="0"/>
          <w:numId w:val="9"/>
        </w:numPr>
        <w:spacing w:after="0" w:line="240" w:lineRule="auto"/>
        <w:ind w:left="0" w:firstLine="360"/>
        <w:jc w:val="both"/>
        <w:rPr>
          <w:rFonts w:ascii="Arial" w:hAnsi="Arial" w:cs="Arial"/>
          <w:color w:val="767171"/>
          <w:sz w:val="20"/>
          <w:szCs w:val="20"/>
        </w:rPr>
      </w:pPr>
      <w:r w:rsidRPr="005222F6">
        <w:rPr>
          <w:rFonts w:ascii="Arial" w:hAnsi="Arial" w:cs="Arial"/>
          <w:sz w:val="18"/>
          <w:szCs w:val="18"/>
        </w:rPr>
        <w:t>Působnost stanovená tímto zákonem krajským úřadům, krajům, obecním úřadům nebo obcím s rozšířenou působností je výkonem přenesené působnosti</w:t>
      </w:r>
      <w:r w:rsidRPr="00F41A15">
        <w:rPr>
          <w:rFonts w:ascii="Arial" w:hAnsi="Arial" w:cs="Arial"/>
          <w:color w:val="767171"/>
          <w:sz w:val="18"/>
          <w:szCs w:val="18"/>
        </w:rPr>
        <w:t>, s výjimkou působnosti podle § 44 odst. 5. Ustanovení tohoto zákona se použijí na poskytování zdravotnické záchranné služby, na poskytování specifických zdravotních služeb a na poskytování zdravotních služeb podle transplantačního zákona, nestanoví-li zákon o zdravotnické záchranné službě, zákon o</w:t>
      </w:r>
      <w:r>
        <w:rPr>
          <w:rFonts w:ascii="Arial" w:hAnsi="Arial" w:cs="Arial"/>
          <w:color w:val="767171"/>
          <w:sz w:val="18"/>
          <w:szCs w:val="18"/>
        </w:rPr>
        <w:t> </w:t>
      </w:r>
      <w:r w:rsidRPr="00F41A15">
        <w:rPr>
          <w:rFonts w:ascii="Arial" w:hAnsi="Arial" w:cs="Arial"/>
          <w:color w:val="767171"/>
          <w:sz w:val="18"/>
          <w:szCs w:val="18"/>
        </w:rPr>
        <w:t>specifických zdravotních službách a transplantační zákon jinak.</w:t>
      </w:r>
    </w:p>
    <w:p w14:paraId="7A355B3E" w14:textId="77777777" w:rsidR="00F41A15" w:rsidRPr="005222F6" w:rsidRDefault="00F41A15" w:rsidP="00F41A15">
      <w:pPr>
        <w:spacing w:after="0" w:line="240" w:lineRule="auto"/>
        <w:jc w:val="both"/>
        <w:rPr>
          <w:rFonts w:ascii="Arial" w:hAnsi="Arial" w:cs="Arial"/>
          <w:sz w:val="18"/>
          <w:szCs w:val="18"/>
        </w:rPr>
      </w:pPr>
    </w:p>
    <w:p w14:paraId="6BFA5348" w14:textId="77777777" w:rsidR="00F41A15" w:rsidRDefault="00F41A15" w:rsidP="00F41A15">
      <w:pPr>
        <w:spacing w:after="120" w:line="240" w:lineRule="auto"/>
        <w:jc w:val="center"/>
        <w:rPr>
          <w:rFonts w:ascii="Arial" w:hAnsi="Arial" w:cs="Arial"/>
          <w:b/>
          <w:sz w:val="20"/>
          <w:szCs w:val="20"/>
        </w:rPr>
      </w:pPr>
      <w:r w:rsidRPr="000A1FF8">
        <w:rPr>
          <w:rFonts w:ascii="Arial" w:hAnsi="Arial" w:cs="Arial"/>
          <w:b/>
          <w:sz w:val="20"/>
          <w:szCs w:val="20"/>
        </w:rPr>
        <w:t>§ 110</w:t>
      </w:r>
    </w:p>
    <w:p w14:paraId="7D59D170" w14:textId="77777777" w:rsidR="00F41A15" w:rsidRPr="001377DA" w:rsidRDefault="00F41A15" w:rsidP="00F41A15">
      <w:pPr>
        <w:pStyle w:val="Odstavecseseznamem"/>
        <w:numPr>
          <w:ilvl w:val="0"/>
          <w:numId w:val="5"/>
        </w:numPr>
        <w:spacing w:after="0" w:line="240" w:lineRule="auto"/>
        <w:jc w:val="both"/>
        <w:rPr>
          <w:rFonts w:ascii="Arial" w:hAnsi="Arial" w:cs="Arial"/>
          <w:sz w:val="18"/>
          <w:szCs w:val="18"/>
        </w:rPr>
      </w:pPr>
      <w:r w:rsidRPr="001377DA">
        <w:rPr>
          <w:rFonts w:ascii="Arial" w:hAnsi="Arial" w:cs="Arial"/>
          <w:sz w:val="18"/>
          <w:szCs w:val="18"/>
        </w:rPr>
        <w:t>Kraj odpovídá za organizaci a zajištění</w:t>
      </w:r>
    </w:p>
    <w:p w14:paraId="79C49F42" w14:textId="77777777" w:rsidR="00F41A15" w:rsidRPr="001377DA" w:rsidRDefault="00F41A15" w:rsidP="00F41A15">
      <w:pPr>
        <w:pStyle w:val="Odstavecseseznamem"/>
        <w:numPr>
          <w:ilvl w:val="0"/>
          <w:numId w:val="2"/>
        </w:numPr>
        <w:spacing w:before="60" w:after="0" w:line="240" w:lineRule="auto"/>
        <w:ind w:left="284" w:hanging="284"/>
        <w:contextualSpacing w:val="0"/>
        <w:jc w:val="both"/>
        <w:rPr>
          <w:rFonts w:ascii="Arial" w:hAnsi="Arial" w:cs="Arial"/>
          <w:sz w:val="18"/>
          <w:szCs w:val="18"/>
        </w:rPr>
      </w:pPr>
      <w:r w:rsidRPr="001377DA">
        <w:rPr>
          <w:rFonts w:ascii="Arial" w:hAnsi="Arial" w:cs="Arial"/>
          <w:sz w:val="18"/>
          <w:szCs w:val="18"/>
        </w:rPr>
        <w:t>lékařské pohotovostní služby, lékárenské pohotovostní služby a pohotovostní služby v oboru zubní lékařství, a</w:t>
      </w:r>
    </w:p>
    <w:p w14:paraId="071EA4A3" w14:textId="77777777" w:rsidR="00F41A15" w:rsidRPr="001377DA" w:rsidRDefault="00F41A15" w:rsidP="00F41A15">
      <w:pPr>
        <w:pStyle w:val="Odstavecseseznamem"/>
        <w:numPr>
          <w:ilvl w:val="0"/>
          <w:numId w:val="2"/>
        </w:numPr>
        <w:spacing w:after="0" w:line="240" w:lineRule="auto"/>
        <w:ind w:left="284" w:hanging="284"/>
        <w:jc w:val="both"/>
        <w:rPr>
          <w:rFonts w:ascii="Arial" w:hAnsi="Arial" w:cs="Arial"/>
          <w:sz w:val="18"/>
          <w:szCs w:val="18"/>
        </w:rPr>
      </w:pPr>
      <w:r w:rsidRPr="001377DA">
        <w:rPr>
          <w:rFonts w:ascii="Arial" w:hAnsi="Arial" w:cs="Arial"/>
          <w:sz w:val="18"/>
          <w:szCs w:val="18"/>
        </w:rPr>
        <w:t>prohlídek těl zemřelých mimo zdravotnické zařízení na svém území; seznam lékařů, s nimiž kraj uzavřel smlouvu podle §</w:t>
      </w:r>
      <w:r>
        <w:rPr>
          <w:rFonts w:ascii="Arial" w:hAnsi="Arial" w:cs="Arial"/>
          <w:sz w:val="18"/>
          <w:szCs w:val="18"/>
        </w:rPr>
        <w:t> </w:t>
      </w:r>
      <w:r w:rsidRPr="001377DA">
        <w:rPr>
          <w:rFonts w:ascii="Arial" w:hAnsi="Arial" w:cs="Arial"/>
          <w:sz w:val="18"/>
          <w:szCs w:val="18"/>
        </w:rPr>
        <w:t>84 odst. 2 písm. b), a poskytovatelů zajišťujících v rámci lékařské pohotovostní služby prohlídky těl zemřelých, včetně časového rozpisu a vymezení územního obvodu poskytování této zdravotní služby, kraj zveřejní na svých internetových stránkách a předá jej subjektu, který provozuje pracoviště pro příjem volání na jednotné evropské číslo tísňového volání</w:t>
      </w:r>
      <w:r w:rsidR="00D27F9F">
        <w:rPr>
          <w:rFonts w:ascii="Arial" w:hAnsi="Arial" w:cs="Arial"/>
          <w:sz w:val="18"/>
          <w:szCs w:val="18"/>
        </w:rPr>
        <w:t> </w:t>
      </w:r>
      <w:r w:rsidRPr="001377DA">
        <w:rPr>
          <w:rFonts w:ascii="Arial" w:hAnsi="Arial" w:cs="Arial"/>
          <w:sz w:val="18"/>
          <w:szCs w:val="18"/>
        </w:rPr>
        <w:t>112.</w:t>
      </w:r>
    </w:p>
    <w:p w14:paraId="3D9EA5DB" w14:textId="77777777" w:rsidR="00F41A15" w:rsidRPr="001377DA" w:rsidRDefault="00F41A15" w:rsidP="00F41A15">
      <w:pPr>
        <w:spacing w:after="0" w:line="240" w:lineRule="auto"/>
        <w:jc w:val="both"/>
        <w:rPr>
          <w:rFonts w:ascii="Arial" w:hAnsi="Arial" w:cs="Arial"/>
          <w:sz w:val="18"/>
          <w:szCs w:val="18"/>
        </w:rPr>
      </w:pPr>
    </w:p>
    <w:p w14:paraId="0A4D9595" w14:textId="77777777" w:rsidR="00F41A15" w:rsidRPr="001377DA" w:rsidRDefault="00F41A15" w:rsidP="00F41A15">
      <w:pPr>
        <w:spacing w:after="0" w:line="240" w:lineRule="auto"/>
        <w:ind w:firstLine="284"/>
        <w:jc w:val="both"/>
        <w:rPr>
          <w:rFonts w:ascii="Arial" w:hAnsi="Arial" w:cs="Arial"/>
          <w:sz w:val="18"/>
          <w:szCs w:val="18"/>
        </w:rPr>
      </w:pPr>
      <w:r w:rsidRPr="001377DA">
        <w:rPr>
          <w:rFonts w:ascii="Arial" w:hAnsi="Arial" w:cs="Arial"/>
          <w:sz w:val="18"/>
          <w:szCs w:val="18"/>
        </w:rPr>
        <w:t>(2)</w:t>
      </w:r>
      <w:r w:rsidRPr="001377DA">
        <w:rPr>
          <w:rFonts w:ascii="Arial" w:hAnsi="Arial" w:cs="Arial"/>
          <w:sz w:val="18"/>
          <w:szCs w:val="18"/>
        </w:rPr>
        <w:tab/>
        <w:t>Lékařskou pohotovostní službou se rozumí ambulantní péče poskytovaná pacientům v případech náhlé změny zdravotního stavu nebo zhoršení průběhu onemocnění. O pohotovostní služby nejde v případě poskytnutí ambulantní péče v</w:t>
      </w:r>
      <w:r>
        <w:rPr>
          <w:rFonts w:ascii="Arial" w:hAnsi="Arial" w:cs="Arial"/>
          <w:sz w:val="18"/>
          <w:szCs w:val="18"/>
        </w:rPr>
        <w:t> </w:t>
      </w:r>
      <w:r w:rsidRPr="001377DA">
        <w:rPr>
          <w:rFonts w:ascii="Arial" w:hAnsi="Arial" w:cs="Arial"/>
          <w:sz w:val="18"/>
          <w:szCs w:val="18"/>
        </w:rPr>
        <w:t>rámci pravidelné ordinační doby poskytovatele. Podle věty první a druhé se postupuje i v případě poskytování pohotovostní služby v oboru zubní lékařství a lékárenské pohotovostní služby.</w:t>
      </w:r>
    </w:p>
    <w:p w14:paraId="5D70327E" w14:textId="77777777" w:rsidR="00F41A15" w:rsidRDefault="00F41A15" w:rsidP="00F41A15">
      <w:pPr>
        <w:spacing w:after="60" w:line="240" w:lineRule="auto"/>
        <w:jc w:val="both"/>
        <w:rPr>
          <w:rFonts w:ascii="Arial" w:hAnsi="Arial" w:cs="Arial"/>
          <w:sz w:val="20"/>
          <w:szCs w:val="20"/>
        </w:rPr>
      </w:pPr>
    </w:p>
    <w:p w14:paraId="344E02E9" w14:textId="77777777" w:rsidR="00F41A15" w:rsidRDefault="00F41A15" w:rsidP="00F41A15">
      <w:pPr>
        <w:pStyle w:val="Odstavecseseznamem"/>
        <w:spacing w:after="120" w:line="240" w:lineRule="auto"/>
        <w:ind w:left="0"/>
        <w:contextualSpacing w:val="0"/>
        <w:jc w:val="center"/>
        <w:rPr>
          <w:rFonts w:ascii="Arial" w:hAnsi="Arial" w:cs="Arial"/>
          <w:b/>
          <w:sz w:val="20"/>
          <w:szCs w:val="20"/>
        </w:rPr>
      </w:pPr>
      <w:r>
        <w:rPr>
          <w:rFonts w:ascii="Arial" w:hAnsi="Arial" w:cs="Arial"/>
          <w:b/>
          <w:sz w:val="20"/>
          <w:szCs w:val="20"/>
        </w:rPr>
        <w:t>§ 2 odst. 1</w:t>
      </w:r>
    </w:p>
    <w:p w14:paraId="2FD27724" w14:textId="77777777" w:rsidR="00F41A15" w:rsidRDefault="00F41A15" w:rsidP="00F41A15">
      <w:pPr>
        <w:pStyle w:val="Odstavecseseznamem"/>
        <w:numPr>
          <w:ilvl w:val="0"/>
          <w:numId w:val="10"/>
        </w:numPr>
        <w:spacing w:after="0" w:line="240" w:lineRule="auto"/>
        <w:ind w:left="0" w:firstLine="360"/>
        <w:contextualSpacing w:val="0"/>
        <w:jc w:val="both"/>
        <w:rPr>
          <w:rFonts w:ascii="Arial" w:hAnsi="Arial" w:cs="Arial"/>
          <w:sz w:val="18"/>
          <w:szCs w:val="18"/>
        </w:rPr>
      </w:pPr>
      <w:r>
        <w:rPr>
          <w:rFonts w:ascii="Arial" w:hAnsi="Arial" w:cs="Arial"/>
          <w:sz w:val="18"/>
          <w:szCs w:val="18"/>
        </w:rPr>
        <w:t>Poskytovatelem zdravotních služeb se rozumí fyzická nebo právnická osoba, která má oprávnění k poskytování zdravotních služeb podle tohoto zákona</w:t>
      </w:r>
      <w:r w:rsidRPr="001377DA">
        <w:rPr>
          <w:rFonts w:ascii="Arial" w:hAnsi="Arial" w:cs="Arial"/>
          <w:sz w:val="18"/>
          <w:szCs w:val="18"/>
        </w:rPr>
        <w:t>.</w:t>
      </w:r>
    </w:p>
    <w:p w14:paraId="38317965" w14:textId="77777777" w:rsidR="00F41A15" w:rsidRPr="00650610" w:rsidRDefault="00F41A15" w:rsidP="00F41A15">
      <w:pPr>
        <w:spacing w:after="0" w:line="240" w:lineRule="auto"/>
        <w:jc w:val="both"/>
        <w:rPr>
          <w:rFonts w:ascii="Arial" w:hAnsi="Arial" w:cs="Arial"/>
          <w:sz w:val="18"/>
          <w:szCs w:val="18"/>
        </w:rPr>
      </w:pPr>
    </w:p>
    <w:p w14:paraId="5D0ADEF2" w14:textId="77777777" w:rsidR="00F41A15" w:rsidRDefault="00F41A15" w:rsidP="00F41A15">
      <w:pPr>
        <w:pStyle w:val="Odstavecseseznamem"/>
        <w:spacing w:after="120" w:line="240" w:lineRule="auto"/>
        <w:ind w:left="0"/>
        <w:contextualSpacing w:val="0"/>
        <w:jc w:val="center"/>
        <w:rPr>
          <w:rFonts w:ascii="Arial" w:hAnsi="Arial" w:cs="Arial"/>
          <w:b/>
          <w:sz w:val="20"/>
          <w:szCs w:val="20"/>
        </w:rPr>
      </w:pPr>
      <w:r w:rsidRPr="000A1FF8">
        <w:rPr>
          <w:rFonts w:ascii="Arial" w:hAnsi="Arial" w:cs="Arial"/>
          <w:b/>
          <w:sz w:val="20"/>
          <w:szCs w:val="20"/>
        </w:rPr>
        <w:t>§ 7</w:t>
      </w:r>
      <w:r>
        <w:rPr>
          <w:rFonts w:ascii="Arial" w:hAnsi="Arial" w:cs="Arial"/>
          <w:b/>
          <w:sz w:val="20"/>
          <w:szCs w:val="20"/>
        </w:rPr>
        <w:t xml:space="preserve"> odst. 1</w:t>
      </w:r>
    </w:p>
    <w:p w14:paraId="0517E028" w14:textId="77777777" w:rsidR="00F41A15" w:rsidRPr="001377DA" w:rsidRDefault="00F41A15" w:rsidP="00F41A15">
      <w:pPr>
        <w:pStyle w:val="Odstavecseseznamem"/>
        <w:numPr>
          <w:ilvl w:val="0"/>
          <w:numId w:val="7"/>
        </w:numPr>
        <w:spacing w:after="0" w:line="240" w:lineRule="auto"/>
        <w:ind w:left="0" w:firstLine="360"/>
        <w:jc w:val="both"/>
        <w:rPr>
          <w:rFonts w:ascii="Arial" w:hAnsi="Arial" w:cs="Arial"/>
          <w:sz w:val="18"/>
          <w:szCs w:val="18"/>
        </w:rPr>
      </w:pPr>
      <w:r w:rsidRPr="001377DA">
        <w:rPr>
          <w:rFonts w:ascii="Arial" w:hAnsi="Arial" w:cs="Arial"/>
          <w:sz w:val="18"/>
          <w:szCs w:val="18"/>
        </w:rPr>
        <w:t>Ambulantní péče je zdravotní péčí, při níž se nevyžaduje hospitalizace pacienta nebo přijetí pacienta na lůžko do</w:t>
      </w:r>
      <w:r>
        <w:rPr>
          <w:rFonts w:ascii="Arial" w:hAnsi="Arial" w:cs="Arial"/>
          <w:sz w:val="18"/>
          <w:szCs w:val="18"/>
        </w:rPr>
        <w:t> </w:t>
      </w:r>
      <w:r w:rsidRPr="001377DA">
        <w:rPr>
          <w:rFonts w:ascii="Arial" w:hAnsi="Arial" w:cs="Arial"/>
          <w:sz w:val="18"/>
          <w:szCs w:val="18"/>
        </w:rPr>
        <w:t xml:space="preserve">zdravotnického zařízení poskytovatele jednodenní péče. </w:t>
      </w:r>
    </w:p>
    <w:p w14:paraId="7FFF03C4" w14:textId="77777777" w:rsidR="00F41A15" w:rsidRDefault="00F41A15" w:rsidP="00F41A15">
      <w:pPr>
        <w:spacing w:after="0" w:line="240" w:lineRule="auto"/>
        <w:jc w:val="center"/>
        <w:rPr>
          <w:rFonts w:ascii="Arial" w:hAnsi="Arial" w:cs="Arial"/>
          <w:b/>
          <w:sz w:val="20"/>
          <w:szCs w:val="20"/>
        </w:rPr>
      </w:pPr>
    </w:p>
    <w:p w14:paraId="754080F8" w14:textId="77777777" w:rsidR="00F41A15" w:rsidRDefault="00F41A15" w:rsidP="00F41A15">
      <w:pPr>
        <w:spacing w:after="120" w:line="240" w:lineRule="auto"/>
        <w:jc w:val="center"/>
        <w:rPr>
          <w:rFonts w:ascii="Arial" w:hAnsi="Arial" w:cs="Arial"/>
          <w:b/>
          <w:sz w:val="20"/>
          <w:szCs w:val="20"/>
        </w:rPr>
      </w:pPr>
      <w:r w:rsidRPr="000A1FF8">
        <w:rPr>
          <w:rFonts w:ascii="Arial" w:hAnsi="Arial" w:cs="Arial"/>
          <w:b/>
          <w:sz w:val="20"/>
          <w:szCs w:val="20"/>
        </w:rPr>
        <w:t>§ 45</w:t>
      </w:r>
      <w:r>
        <w:rPr>
          <w:rFonts w:ascii="Arial" w:hAnsi="Arial" w:cs="Arial"/>
          <w:b/>
          <w:sz w:val="20"/>
          <w:szCs w:val="20"/>
        </w:rPr>
        <w:t xml:space="preserve"> odst. 2 písm. l)</w:t>
      </w:r>
    </w:p>
    <w:p w14:paraId="46A09338" w14:textId="77777777" w:rsidR="00F41A15" w:rsidRPr="000C2BC5" w:rsidRDefault="00F41A15" w:rsidP="000C2BC5">
      <w:pPr>
        <w:pStyle w:val="Odstavecseseznamem"/>
        <w:numPr>
          <w:ilvl w:val="0"/>
          <w:numId w:val="5"/>
        </w:numPr>
        <w:spacing w:after="0" w:line="240" w:lineRule="auto"/>
        <w:jc w:val="both"/>
        <w:rPr>
          <w:rFonts w:ascii="Arial" w:hAnsi="Arial" w:cs="Arial"/>
          <w:sz w:val="18"/>
          <w:szCs w:val="18"/>
        </w:rPr>
      </w:pPr>
      <w:r w:rsidRPr="001377DA">
        <w:rPr>
          <w:rFonts w:ascii="Arial" w:hAnsi="Arial" w:cs="Arial"/>
          <w:sz w:val="18"/>
          <w:szCs w:val="18"/>
        </w:rPr>
        <w:t>Poskytovatel je povinen</w:t>
      </w:r>
    </w:p>
    <w:p w14:paraId="193C9F31" w14:textId="77777777" w:rsidR="00F41A15" w:rsidRPr="001377DA" w:rsidRDefault="00F41A15" w:rsidP="00F41A15">
      <w:pPr>
        <w:spacing w:after="60" w:line="240" w:lineRule="auto"/>
        <w:jc w:val="both"/>
        <w:rPr>
          <w:rFonts w:ascii="Arial" w:hAnsi="Arial" w:cs="Arial"/>
          <w:sz w:val="18"/>
          <w:szCs w:val="18"/>
        </w:rPr>
      </w:pPr>
      <w:r w:rsidRPr="001377DA">
        <w:rPr>
          <w:rFonts w:ascii="Arial" w:hAnsi="Arial" w:cs="Arial"/>
          <w:sz w:val="18"/>
          <w:szCs w:val="18"/>
        </w:rPr>
        <w:t xml:space="preserve">l) podílet se na žádost kraje, jehož krajský úřad mu udělil oprávnění, na zajištění lékařské pohotovostní služby, lékárenské pohotovostní služby a pohotovostní služby zubních lékařů; </w:t>
      </w:r>
      <w:r w:rsidRPr="00F41A15">
        <w:rPr>
          <w:rFonts w:ascii="Arial" w:hAnsi="Arial" w:cs="Arial"/>
          <w:color w:val="767171"/>
          <w:sz w:val="18"/>
          <w:szCs w:val="18"/>
        </w:rPr>
        <w:t>to neplatí, jde-li o Vězeňskou službu,</w:t>
      </w:r>
    </w:p>
    <w:p w14:paraId="45B3D818" w14:textId="77777777" w:rsidR="00F41A15" w:rsidRDefault="00F41A15" w:rsidP="00F41A15">
      <w:pPr>
        <w:spacing w:after="0" w:line="240" w:lineRule="auto"/>
        <w:jc w:val="center"/>
        <w:rPr>
          <w:rFonts w:ascii="Arial" w:hAnsi="Arial" w:cs="Arial"/>
          <w:b/>
          <w:sz w:val="20"/>
          <w:szCs w:val="20"/>
        </w:rPr>
      </w:pPr>
    </w:p>
    <w:p w14:paraId="1F75DA87" w14:textId="77777777" w:rsidR="00F41A15" w:rsidRDefault="00F41A15" w:rsidP="00F41A15">
      <w:pPr>
        <w:spacing w:after="120" w:line="240" w:lineRule="auto"/>
        <w:jc w:val="center"/>
        <w:rPr>
          <w:rFonts w:ascii="Arial" w:hAnsi="Arial" w:cs="Arial"/>
          <w:b/>
          <w:sz w:val="20"/>
          <w:szCs w:val="20"/>
        </w:rPr>
      </w:pPr>
      <w:r w:rsidRPr="003377E0">
        <w:rPr>
          <w:rFonts w:ascii="Arial" w:hAnsi="Arial" w:cs="Arial"/>
          <w:b/>
          <w:sz w:val="20"/>
          <w:szCs w:val="20"/>
        </w:rPr>
        <w:t>§ 84</w:t>
      </w:r>
      <w:r>
        <w:rPr>
          <w:rFonts w:ascii="Arial" w:hAnsi="Arial" w:cs="Arial"/>
          <w:b/>
          <w:sz w:val="20"/>
          <w:szCs w:val="20"/>
        </w:rPr>
        <w:t xml:space="preserve"> odst. 2</w:t>
      </w:r>
    </w:p>
    <w:p w14:paraId="074D1D4D" w14:textId="77777777" w:rsidR="00F41A15" w:rsidRPr="001377DA" w:rsidRDefault="00F41A15" w:rsidP="000C2BC5">
      <w:pPr>
        <w:pStyle w:val="Odstavecseseznamem"/>
        <w:numPr>
          <w:ilvl w:val="0"/>
          <w:numId w:val="12"/>
        </w:numPr>
        <w:spacing w:after="0" w:line="240" w:lineRule="auto"/>
        <w:contextualSpacing w:val="0"/>
        <w:jc w:val="both"/>
        <w:rPr>
          <w:rFonts w:ascii="Arial" w:hAnsi="Arial" w:cs="Arial"/>
          <w:sz w:val="18"/>
          <w:szCs w:val="18"/>
        </w:rPr>
      </w:pPr>
      <w:r w:rsidRPr="001377DA">
        <w:rPr>
          <w:rFonts w:ascii="Arial" w:hAnsi="Arial" w:cs="Arial"/>
          <w:sz w:val="18"/>
          <w:szCs w:val="18"/>
        </w:rPr>
        <w:t>Prohlídky těl zemřelých jsou povinni zajišťovat</w:t>
      </w:r>
    </w:p>
    <w:p w14:paraId="3469C58D" w14:textId="77777777" w:rsidR="00F41A15" w:rsidRPr="001377DA" w:rsidRDefault="00F41A15" w:rsidP="00F41A15">
      <w:pPr>
        <w:numPr>
          <w:ilvl w:val="0"/>
          <w:numId w:val="4"/>
        </w:numPr>
        <w:spacing w:before="60" w:after="0" w:line="240" w:lineRule="auto"/>
        <w:ind w:left="284" w:hanging="284"/>
        <w:jc w:val="both"/>
        <w:rPr>
          <w:rFonts w:ascii="Arial" w:hAnsi="Arial" w:cs="Arial"/>
          <w:sz w:val="18"/>
          <w:szCs w:val="18"/>
        </w:rPr>
      </w:pPr>
      <w:r w:rsidRPr="001377DA">
        <w:rPr>
          <w:rFonts w:ascii="Arial" w:hAnsi="Arial" w:cs="Arial"/>
          <w:sz w:val="18"/>
          <w:szCs w:val="18"/>
        </w:rPr>
        <w:t xml:space="preserve">poskytovatelé v oboru všeobecné praktické lékařství a v oboru praktické lékařství pro děti a dorost u svých registrovaných pacientů v rámci provozní doby a v rozsahu provádění návštěvních služeb; provedení prohlídky nesmí vést k narušení poskytování zdravotních služeb,  </w:t>
      </w:r>
    </w:p>
    <w:p w14:paraId="58CC7D00" w14:textId="77777777" w:rsidR="00F41A15" w:rsidRPr="001377DA" w:rsidRDefault="00F41A15" w:rsidP="00F41A15">
      <w:pPr>
        <w:numPr>
          <w:ilvl w:val="0"/>
          <w:numId w:val="4"/>
        </w:numPr>
        <w:spacing w:after="0" w:line="240" w:lineRule="auto"/>
        <w:ind w:left="284" w:hanging="284"/>
        <w:jc w:val="both"/>
        <w:rPr>
          <w:rFonts w:ascii="Arial" w:hAnsi="Arial" w:cs="Arial"/>
          <w:sz w:val="18"/>
          <w:szCs w:val="18"/>
        </w:rPr>
      </w:pPr>
      <w:r w:rsidRPr="001377DA">
        <w:rPr>
          <w:rFonts w:ascii="Arial" w:hAnsi="Arial" w:cs="Arial"/>
          <w:sz w:val="18"/>
          <w:szCs w:val="18"/>
        </w:rPr>
        <w:t>nejde-li o postup podle písmene a), lékař vykonávající lékařskou pohotovostní službu nebo poskytovatel nebo lékař, se</w:t>
      </w:r>
      <w:r>
        <w:rPr>
          <w:rFonts w:ascii="Arial" w:hAnsi="Arial" w:cs="Arial"/>
          <w:sz w:val="18"/>
          <w:szCs w:val="18"/>
        </w:rPr>
        <w:t> </w:t>
      </w:r>
      <w:r w:rsidRPr="001377DA">
        <w:rPr>
          <w:rFonts w:ascii="Arial" w:hAnsi="Arial" w:cs="Arial"/>
          <w:sz w:val="18"/>
          <w:szCs w:val="18"/>
        </w:rPr>
        <w:t>kterým má kraj pro tyto účely uzavřenu smlouvu,</w:t>
      </w:r>
    </w:p>
    <w:p w14:paraId="37E44D7B" w14:textId="77777777" w:rsidR="00F41A15" w:rsidRPr="001377DA" w:rsidRDefault="00F41A15" w:rsidP="00F41A15">
      <w:pPr>
        <w:numPr>
          <w:ilvl w:val="0"/>
          <w:numId w:val="4"/>
        </w:numPr>
        <w:spacing w:after="0" w:line="240" w:lineRule="auto"/>
        <w:ind w:left="284" w:hanging="284"/>
        <w:jc w:val="both"/>
        <w:rPr>
          <w:rFonts w:ascii="Arial" w:hAnsi="Arial" w:cs="Arial"/>
          <w:sz w:val="18"/>
          <w:szCs w:val="18"/>
        </w:rPr>
      </w:pPr>
      <w:r w:rsidRPr="001377DA">
        <w:rPr>
          <w:rFonts w:ascii="Arial" w:hAnsi="Arial" w:cs="Arial"/>
          <w:sz w:val="18"/>
          <w:szCs w:val="18"/>
        </w:rPr>
        <w:t xml:space="preserve">poskytovatel, v jehož zdravotnickém zařízení došlo k úmrtí, </w:t>
      </w:r>
    </w:p>
    <w:p w14:paraId="4C7D316A" w14:textId="77777777" w:rsidR="00F41A15" w:rsidRPr="001377DA" w:rsidRDefault="00F41A15" w:rsidP="00F41A15">
      <w:pPr>
        <w:numPr>
          <w:ilvl w:val="0"/>
          <w:numId w:val="4"/>
        </w:numPr>
        <w:spacing w:after="0" w:line="240" w:lineRule="auto"/>
        <w:ind w:left="284" w:hanging="284"/>
        <w:jc w:val="both"/>
        <w:rPr>
          <w:rFonts w:ascii="Arial" w:hAnsi="Arial" w:cs="Arial"/>
          <w:sz w:val="18"/>
          <w:szCs w:val="18"/>
        </w:rPr>
      </w:pPr>
      <w:r w:rsidRPr="001377DA">
        <w:rPr>
          <w:rFonts w:ascii="Arial" w:hAnsi="Arial" w:cs="Arial"/>
          <w:sz w:val="18"/>
          <w:szCs w:val="18"/>
        </w:rPr>
        <w:t>poskytovatel zdravotnické záchranné služby v případě, kdy k úmrtí došlo při poskytování přednemocniční neodkladné péče.</w:t>
      </w:r>
    </w:p>
    <w:p w14:paraId="79DD7F27" w14:textId="77777777" w:rsidR="00F41A15" w:rsidRDefault="00F41A15" w:rsidP="00F41A15">
      <w:pPr>
        <w:spacing w:after="60" w:line="240" w:lineRule="auto"/>
        <w:jc w:val="both"/>
        <w:rPr>
          <w:rFonts w:ascii="Arial" w:hAnsi="Arial" w:cs="Arial"/>
          <w:sz w:val="20"/>
          <w:szCs w:val="20"/>
        </w:rPr>
      </w:pPr>
    </w:p>
    <w:p w14:paraId="4163FE98" w14:textId="77777777" w:rsidR="00F41A15" w:rsidRDefault="00F41A15" w:rsidP="00F41A15">
      <w:pPr>
        <w:spacing w:after="120" w:line="240" w:lineRule="auto"/>
        <w:jc w:val="center"/>
        <w:rPr>
          <w:rFonts w:ascii="Arial" w:hAnsi="Arial" w:cs="Arial"/>
          <w:b/>
          <w:sz w:val="20"/>
          <w:szCs w:val="20"/>
        </w:rPr>
      </w:pPr>
      <w:r w:rsidRPr="003377E0">
        <w:rPr>
          <w:rFonts w:ascii="Arial" w:hAnsi="Arial" w:cs="Arial"/>
          <w:b/>
          <w:sz w:val="20"/>
          <w:szCs w:val="20"/>
        </w:rPr>
        <w:t>§ 83</w:t>
      </w:r>
    </w:p>
    <w:p w14:paraId="342AD7C6" w14:textId="77777777" w:rsidR="00F41A15" w:rsidRPr="001377DA" w:rsidRDefault="00F41A15" w:rsidP="00F41A15">
      <w:pPr>
        <w:pStyle w:val="Odstavecseseznamem"/>
        <w:widowControl w:val="0"/>
        <w:numPr>
          <w:ilvl w:val="0"/>
          <w:numId w:val="6"/>
        </w:numPr>
        <w:autoSpaceDE w:val="0"/>
        <w:autoSpaceDN w:val="0"/>
        <w:adjustRightInd w:val="0"/>
        <w:spacing w:after="0" w:line="240" w:lineRule="auto"/>
        <w:ind w:left="0" w:firstLine="357"/>
        <w:contextualSpacing w:val="0"/>
        <w:jc w:val="both"/>
        <w:rPr>
          <w:rFonts w:ascii="Arial" w:hAnsi="Arial" w:cs="Arial"/>
          <w:sz w:val="18"/>
          <w:szCs w:val="18"/>
        </w:rPr>
      </w:pPr>
      <w:r w:rsidRPr="001377DA">
        <w:rPr>
          <w:rFonts w:ascii="Arial" w:hAnsi="Arial" w:cs="Arial"/>
          <w:sz w:val="18"/>
          <w:szCs w:val="18"/>
        </w:rPr>
        <w:t>Úmrtí osoby nebo nález těla zemřelého mimo zdravotnické zařízení poskytovatele se oznamuje poskytovateli nebo lékaři uvedenému v § 84 odst. 2 písm. a) nebo b). Nejsou-li poskytovatelé nebo lékaři podle věty první známi, oznámí se úmrtí nebo nález těla zemřelého na jednotné evropské číslo tísňového volání 112. Nález části těla zemřelého mimo zdravotnické zařízení poskytovatele se oznamuje na jednotné evropské číslo tísňového volání 112.</w:t>
      </w:r>
    </w:p>
    <w:p w14:paraId="6AA49680" w14:textId="77777777" w:rsidR="00F41A15" w:rsidRPr="001377DA" w:rsidRDefault="00F41A15" w:rsidP="00F41A15">
      <w:pPr>
        <w:pStyle w:val="Odstavecseseznamem"/>
        <w:widowControl w:val="0"/>
        <w:autoSpaceDE w:val="0"/>
        <w:autoSpaceDN w:val="0"/>
        <w:adjustRightInd w:val="0"/>
        <w:spacing w:after="0" w:line="240" w:lineRule="auto"/>
        <w:ind w:left="360"/>
        <w:jc w:val="both"/>
        <w:rPr>
          <w:rFonts w:ascii="Arial" w:hAnsi="Arial" w:cs="Arial"/>
          <w:sz w:val="18"/>
          <w:szCs w:val="18"/>
        </w:rPr>
      </w:pPr>
    </w:p>
    <w:p w14:paraId="472EA8F5" w14:textId="77777777" w:rsidR="00891C30" w:rsidRPr="00F41A15" w:rsidRDefault="00F41A15" w:rsidP="00F41A15">
      <w:pPr>
        <w:pStyle w:val="Odstavecseseznamem"/>
        <w:widowControl w:val="0"/>
        <w:numPr>
          <w:ilvl w:val="0"/>
          <w:numId w:val="6"/>
        </w:numPr>
        <w:autoSpaceDE w:val="0"/>
        <w:autoSpaceDN w:val="0"/>
        <w:adjustRightInd w:val="0"/>
        <w:spacing w:after="0" w:line="240" w:lineRule="auto"/>
        <w:ind w:left="0" w:firstLine="360"/>
        <w:jc w:val="both"/>
      </w:pPr>
      <w:r w:rsidRPr="00F41A15">
        <w:rPr>
          <w:rFonts w:ascii="Arial" w:hAnsi="Arial" w:cs="Arial"/>
          <w:sz w:val="18"/>
          <w:szCs w:val="18"/>
        </w:rPr>
        <w:t>Oznamovací povinnost podle odstavce 1 má každý, kdo se o úmrtí dozvěděl nebo nalezl tělo zemřelého nebo jeho část a neví, zda úmrtí nebo nález těla nebo jeho části již bylo oznámeno.</w:t>
      </w:r>
    </w:p>
    <w:sectPr w:rsidR="00891C30" w:rsidRPr="00F41A15" w:rsidSect="00F41A15">
      <w:headerReference w:type="default" r:id="rId7"/>
      <w:pgSz w:w="11906" w:h="16838"/>
      <w:pgMar w:top="113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F652" w14:textId="77777777" w:rsidR="00BC4BE1" w:rsidRDefault="00BC4BE1" w:rsidP="009C4647">
      <w:pPr>
        <w:spacing w:after="0" w:line="240" w:lineRule="auto"/>
      </w:pPr>
      <w:r>
        <w:separator/>
      </w:r>
    </w:p>
  </w:endnote>
  <w:endnote w:type="continuationSeparator" w:id="0">
    <w:p w14:paraId="1D001E18" w14:textId="77777777" w:rsidR="00BC4BE1" w:rsidRDefault="00BC4BE1" w:rsidP="009C4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48D87" w14:textId="77777777" w:rsidR="00BC4BE1" w:rsidRDefault="00BC4BE1" w:rsidP="009C4647">
      <w:pPr>
        <w:spacing w:after="0" w:line="240" w:lineRule="auto"/>
      </w:pPr>
      <w:r>
        <w:separator/>
      </w:r>
    </w:p>
  </w:footnote>
  <w:footnote w:type="continuationSeparator" w:id="0">
    <w:p w14:paraId="547790FA" w14:textId="77777777" w:rsidR="00BC4BE1" w:rsidRDefault="00BC4BE1" w:rsidP="009C4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02B0" w14:textId="41591BB1" w:rsidR="009C4647" w:rsidRPr="00427C77" w:rsidRDefault="009C4647" w:rsidP="003D4C5E">
    <w:pPr>
      <w:pStyle w:val="Zhlav"/>
      <w:jc w:val="right"/>
      <w:rPr>
        <w:rFonts w:ascii="Arial" w:hAnsi="Arial" w:cs="Arial"/>
        <w:sz w:val="20"/>
        <w:szCs w:val="20"/>
      </w:rPr>
    </w:pPr>
    <w:r w:rsidRPr="00427C77">
      <w:rPr>
        <w:rFonts w:ascii="Arial" w:hAnsi="Arial" w:cs="Arial"/>
        <w:sz w:val="20"/>
        <w:szCs w:val="20"/>
      </w:rPr>
      <w:t xml:space="preserve">Příloha č. 1 </w:t>
    </w:r>
    <w:r w:rsidR="000A1C70" w:rsidRPr="00427C77">
      <w:rPr>
        <w:rFonts w:ascii="Arial" w:hAnsi="Arial" w:cs="Arial"/>
        <w:sz w:val="20"/>
        <w:szCs w:val="20"/>
      </w:rPr>
      <w:t>návrhu</w:t>
    </w:r>
    <w:r w:rsidRPr="00427C77">
      <w:rPr>
        <w:rFonts w:ascii="Arial" w:hAnsi="Arial" w:cs="Arial"/>
        <w:sz w:val="20"/>
        <w:szCs w:val="20"/>
      </w:rPr>
      <w:t xml:space="preserve"> č. </w:t>
    </w:r>
    <w:r w:rsidR="00220120">
      <w:rPr>
        <w:rFonts w:ascii="Arial" w:hAnsi="Arial" w:cs="Arial"/>
        <w:sz w:val="20"/>
        <w:szCs w:val="20"/>
      </w:rPr>
      <w:t>454</w:t>
    </w:r>
    <w:r w:rsidRPr="00427C77">
      <w:rPr>
        <w:rFonts w:ascii="Arial" w:hAnsi="Arial" w:cs="Arial"/>
        <w:sz w:val="20"/>
        <w:szCs w:val="20"/>
      </w:rPr>
      <w:t>/</w:t>
    </w:r>
    <w:r w:rsidR="00220120">
      <w:rPr>
        <w:rFonts w:ascii="Arial" w:hAnsi="Arial" w:cs="Arial"/>
        <w:sz w:val="20"/>
        <w:szCs w:val="20"/>
      </w:rPr>
      <w:t>Z</w:t>
    </w:r>
    <w:r w:rsidRPr="00427C77">
      <w:rPr>
        <w:rFonts w:ascii="Arial" w:hAnsi="Arial" w:cs="Arial"/>
        <w:sz w:val="20"/>
        <w:szCs w:val="20"/>
      </w:rPr>
      <w:t>K/</w:t>
    </w:r>
    <w:r w:rsidR="00E64D2F">
      <w:rPr>
        <w:rFonts w:ascii="Arial" w:hAnsi="Arial" w:cs="Arial"/>
        <w:sz w:val="20"/>
        <w:szCs w:val="20"/>
      </w:rPr>
      <w:t>2</w:t>
    </w:r>
    <w:r w:rsidR="00EB4A9C">
      <w:rPr>
        <w:rFonts w:ascii="Arial" w:hAnsi="Arial" w:cs="Arial"/>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5DB2"/>
    <w:multiLevelType w:val="hybridMultilevel"/>
    <w:tmpl w:val="7AF23976"/>
    <w:lvl w:ilvl="0" w:tplc="C8DC299C">
      <w:start w:val="1"/>
      <w:numFmt w:val="upperRoman"/>
      <w:pStyle w:val="Nadpis4"/>
      <w:lvlText w:val="%1."/>
      <w:lvlJc w:val="right"/>
      <w:pPr>
        <w:tabs>
          <w:tab w:val="num" w:pos="180"/>
        </w:tabs>
        <w:ind w:left="180" w:hanging="18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3D57865"/>
    <w:multiLevelType w:val="hybridMultilevel"/>
    <w:tmpl w:val="695EC240"/>
    <w:lvl w:ilvl="0" w:tplc="A95A83E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0">
    <w:nsid w:val="15BB5A0D"/>
    <w:multiLevelType w:val="hybridMultilevel"/>
    <w:tmpl w:val="9BC2DE36"/>
    <w:lvl w:ilvl="0" w:tplc="3CC2384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26E73671"/>
    <w:multiLevelType w:val="hybridMultilevel"/>
    <w:tmpl w:val="0C1E1910"/>
    <w:lvl w:ilvl="0" w:tplc="B792052E">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7B5A1C"/>
    <w:multiLevelType w:val="hybridMultilevel"/>
    <w:tmpl w:val="FA02D648"/>
    <w:lvl w:ilvl="0" w:tplc="D91CA9D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347000"/>
    <w:multiLevelType w:val="hybridMultilevel"/>
    <w:tmpl w:val="F9B6462C"/>
    <w:lvl w:ilvl="0" w:tplc="5BDEC71A">
      <w:start w:val="1"/>
      <w:numFmt w:val="decimal"/>
      <w:lvlText w:val="%1)"/>
      <w:lvlJc w:val="left"/>
      <w:pPr>
        <w:ind w:left="786" w:hanging="360"/>
      </w:pPr>
      <w:rPr>
        <w:rFonts w:ascii="Times New Roman" w:eastAsia="Calibri" w:hAnsi="Times New Roman"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15:restartNumberingAfterBreak="0">
    <w:nsid w:val="58DC3721"/>
    <w:multiLevelType w:val="hybridMultilevel"/>
    <w:tmpl w:val="E8466BFC"/>
    <w:lvl w:ilvl="0" w:tplc="1A4A04CA">
      <w:start w:val="1"/>
      <w:numFmt w:val="lowerLetter"/>
      <w:lvlText w:val="%1)"/>
      <w:lvlJc w:val="left"/>
      <w:pPr>
        <w:ind w:left="720" w:hanging="360"/>
      </w:pPr>
      <w:rPr>
        <w:rFonts w:ascii="Arial" w:eastAsia="Calibri"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32B27A2"/>
    <w:multiLevelType w:val="hybridMultilevel"/>
    <w:tmpl w:val="499C3A6C"/>
    <w:lvl w:ilvl="0" w:tplc="8488CA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621FED"/>
    <w:multiLevelType w:val="hybridMultilevel"/>
    <w:tmpl w:val="25769596"/>
    <w:lvl w:ilvl="0" w:tplc="54ACC64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4522D90"/>
    <w:multiLevelType w:val="hybridMultilevel"/>
    <w:tmpl w:val="62A23D18"/>
    <w:lvl w:ilvl="0" w:tplc="2466D726">
      <w:start w:val="1"/>
      <w:numFmt w:val="decimal"/>
      <w:lvlText w:val="(%1)"/>
      <w:lvlJc w:val="left"/>
      <w:pPr>
        <w:ind w:left="720" w:hanging="360"/>
      </w:pPr>
      <w:rPr>
        <w:rFonts w:hint="default"/>
        <w:color w:val="auto"/>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7B52662"/>
    <w:multiLevelType w:val="hybridMultilevel"/>
    <w:tmpl w:val="5E461C90"/>
    <w:lvl w:ilvl="0" w:tplc="8A625DD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D3E0B01"/>
    <w:multiLevelType w:val="hybridMultilevel"/>
    <w:tmpl w:val="6BA29BA0"/>
    <w:lvl w:ilvl="0" w:tplc="A3EACF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11"/>
  </w:num>
  <w:num w:numId="6">
    <w:abstractNumId w:val="4"/>
  </w:num>
  <w:num w:numId="7">
    <w:abstractNumId w:val="2"/>
  </w:num>
  <w:num w:numId="8">
    <w:abstractNumId w:val="3"/>
  </w:num>
  <w:num w:numId="9">
    <w:abstractNumId w:val="9"/>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647"/>
    <w:rsid w:val="00047C79"/>
    <w:rsid w:val="000A0B38"/>
    <w:rsid w:val="000A1C70"/>
    <w:rsid w:val="000C2BC5"/>
    <w:rsid w:val="000D14DE"/>
    <w:rsid w:val="00113B90"/>
    <w:rsid w:val="00123AC5"/>
    <w:rsid w:val="00144DDE"/>
    <w:rsid w:val="001518CF"/>
    <w:rsid w:val="00155352"/>
    <w:rsid w:val="00166B8D"/>
    <w:rsid w:val="001820CB"/>
    <w:rsid w:val="001855AF"/>
    <w:rsid w:val="001B4717"/>
    <w:rsid w:val="001C6D1D"/>
    <w:rsid w:val="00220120"/>
    <w:rsid w:val="00255F0C"/>
    <w:rsid w:val="0027646D"/>
    <w:rsid w:val="002C1B6C"/>
    <w:rsid w:val="00322B86"/>
    <w:rsid w:val="003406A2"/>
    <w:rsid w:val="003511B8"/>
    <w:rsid w:val="003577F8"/>
    <w:rsid w:val="003B7A07"/>
    <w:rsid w:val="003C4882"/>
    <w:rsid w:val="003D4C5E"/>
    <w:rsid w:val="003E3032"/>
    <w:rsid w:val="0041185A"/>
    <w:rsid w:val="00421694"/>
    <w:rsid w:val="00427C77"/>
    <w:rsid w:val="004C7510"/>
    <w:rsid w:val="004F5C62"/>
    <w:rsid w:val="00515100"/>
    <w:rsid w:val="0053110C"/>
    <w:rsid w:val="00531E9F"/>
    <w:rsid w:val="00540F8A"/>
    <w:rsid w:val="005C1532"/>
    <w:rsid w:val="00612C05"/>
    <w:rsid w:val="0061499A"/>
    <w:rsid w:val="006669AF"/>
    <w:rsid w:val="006D66F3"/>
    <w:rsid w:val="006F50A7"/>
    <w:rsid w:val="00752EE1"/>
    <w:rsid w:val="007D4844"/>
    <w:rsid w:val="007E14FF"/>
    <w:rsid w:val="008815E9"/>
    <w:rsid w:val="00891C30"/>
    <w:rsid w:val="008C0341"/>
    <w:rsid w:val="009535EF"/>
    <w:rsid w:val="00960B73"/>
    <w:rsid w:val="00960FE4"/>
    <w:rsid w:val="009854DA"/>
    <w:rsid w:val="009B1388"/>
    <w:rsid w:val="009C2B71"/>
    <w:rsid w:val="009C4647"/>
    <w:rsid w:val="009F486A"/>
    <w:rsid w:val="00A72DA8"/>
    <w:rsid w:val="00A9124A"/>
    <w:rsid w:val="00AA437F"/>
    <w:rsid w:val="00AE3DB0"/>
    <w:rsid w:val="00B04CBF"/>
    <w:rsid w:val="00B158F4"/>
    <w:rsid w:val="00B41D91"/>
    <w:rsid w:val="00B65F3E"/>
    <w:rsid w:val="00B87931"/>
    <w:rsid w:val="00B87954"/>
    <w:rsid w:val="00BC4BE1"/>
    <w:rsid w:val="00BE0417"/>
    <w:rsid w:val="00C238C2"/>
    <w:rsid w:val="00CA1336"/>
    <w:rsid w:val="00D036B2"/>
    <w:rsid w:val="00D27F9F"/>
    <w:rsid w:val="00D35ECE"/>
    <w:rsid w:val="00D642EC"/>
    <w:rsid w:val="00D97936"/>
    <w:rsid w:val="00DB02F6"/>
    <w:rsid w:val="00DE12A5"/>
    <w:rsid w:val="00DE1DF1"/>
    <w:rsid w:val="00E4351F"/>
    <w:rsid w:val="00E453ED"/>
    <w:rsid w:val="00E64D2F"/>
    <w:rsid w:val="00E91899"/>
    <w:rsid w:val="00EB4A9C"/>
    <w:rsid w:val="00EF2CAD"/>
    <w:rsid w:val="00F116D7"/>
    <w:rsid w:val="00F4115C"/>
    <w:rsid w:val="00F41A15"/>
    <w:rsid w:val="00F63553"/>
    <w:rsid w:val="00F70D71"/>
    <w:rsid w:val="00F73CDF"/>
    <w:rsid w:val="00F878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49CD6C"/>
  <w15:chartTrackingRefBased/>
  <w15:docId w15:val="{14EB922A-EBDE-47D7-A4CD-95D57D39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4647"/>
    <w:pPr>
      <w:spacing w:after="200" w:line="276" w:lineRule="auto"/>
    </w:pPr>
    <w:rPr>
      <w:sz w:val="22"/>
      <w:szCs w:val="22"/>
      <w:lang w:eastAsia="en-US"/>
    </w:rPr>
  </w:style>
  <w:style w:type="paragraph" w:styleId="Nadpis4">
    <w:name w:val="heading 4"/>
    <w:basedOn w:val="Normln"/>
    <w:next w:val="Normln"/>
    <w:link w:val="Nadpis4Char"/>
    <w:qFormat/>
    <w:rsid w:val="009C4647"/>
    <w:pPr>
      <w:keepNext/>
      <w:numPr>
        <w:numId w:val="1"/>
      </w:numPr>
      <w:spacing w:after="0" w:line="240" w:lineRule="auto"/>
      <w:jc w:val="center"/>
      <w:outlineLvl w:val="3"/>
    </w:pPr>
    <w:rPr>
      <w:rFonts w:ascii="Times New Roman" w:eastAsia="Times New Roman" w:hAnsi="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qFormat/>
    <w:rsid w:val="009C4647"/>
    <w:pPr>
      <w:spacing w:after="0" w:line="240" w:lineRule="auto"/>
      <w:contextualSpacing/>
    </w:pPr>
    <w:rPr>
      <w:rFonts w:ascii="Times New Roman" w:hAnsi="Times New Roman"/>
      <w:sz w:val="28"/>
      <w:szCs w:val="28"/>
    </w:rPr>
  </w:style>
  <w:style w:type="character" w:customStyle="1" w:styleId="Nadpis4Char">
    <w:name w:val="Nadpis 4 Char"/>
    <w:link w:val="Nadpis4"/>
    <w:rsid w:val="009C4647"/>
    <w:rPr>
      <w:rFonts w:ascii="Times New Roman" w:eastAsia="Times New Roman" w:hAnsi="Times New Roman" w:cs="Times New Roman"/>
      <w:b/>
      <w:bCs/>
      <w:sz w:val="28"/>
      <w:szCs w:val="24"/>
      <w:lang w:eastAsia="cs-CZ"/>
    </w:rPr>
  </w:style>
  <w:style w:type="paragraph" w:styleId="Odstavecseseznamem">
    <w:name w:val="List Paragraph"/>
    <w:basedOn w:val="Normln"/>
    <w:uiPriority w:val="34"/>
    <w:qFormat/>
    <w:rsid w:val="009C4647"/>
    <w:pPr>
      <w:ind w:left="720"/>
      <w:contextualSpacing/>
    </w:pPr>
  </w:style>
  <w:style w:type="paragraph" w:styleId="Zhlav">
    <w:name w:val="header"/>
    <w:basedOn w:val="Normln"/>
    <w:link w:val="ZhlavChar"/>
    <w:uiPriority w:val="99"/>
    <w:unhideWhenUsed/>
    <w:rsid w:val="009C4647"/>
    <w:pPr>
      <w:tabs>
        <w:tab w:val="center" w:pos="4536"/>
        <w:tab w:val="right" w:pos="9072"/>
      </w:tabs>
      <w:spacing w:after="0" w:line="240" w:lineRule="auto"/>
    </w:pPr>
  </w:style>
  <w:style w:type="character" w:customStyle="1" w:styleId="ZhlavChar">
    <w:name w:val="Záhlaví Char"/>
    <w:link w:val="Zhlav"/>
    <w:uiPriority w:val="99"/>
    <w:rsid w:val="009C4647"/>
    <w:rPr>
      <w:rFonts w:ascii="Calibri" w:eastAsia="Calibri" w:hAnsi="Calibri" w:cs="Times New Roman"/>
    </w:rPr>
  </w:style>
  <w:style w:type="paragraph" w:styleId="Zpat">
    <w:name w:val="footer"/>
    <w:basedOn w:val="Normln"/>
    <w:link w:val="ZpatChar"/>
    <w:uiPriority w:val="99"/>
    <w:unhideWhenUsed/>
    <w:rsid w:val="009C4647"/>
    <w:pPr>
      <w:tabs>
        <w:tab w:val="center" w:pos="4536"/>
        <w:tab w:val="right" w:pos="9072"/>
      </w:tabs>
      <w:spacing w:after="0" w:line="240" w:lineRule="auto"/>
    </w:pPr>
  </w:style>
  <w:style w:type="character" w:customStyle="1" w:styleId="ZpatChar">
    <w:name w:val="Zápatí Char"/>
    <w:link w:val="Zpat"/>
    <w:uiPriority w:val="99"/>
    <w:rsid w:val="009C464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3181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Rybák</dc:creator>
  <cp:keywords/>
  <cp:lastModifiedBy>Šírková Petra</cp:lastModifiedBy>
  <cp:revision>2</cp:revision>
  <cp:lastPrinted>2018-11-22T07:18:00Z</cp:lastPrinted>
  <dcterms:created xsi:type="dcterms:W3CDTF">2021-11-24T11:53:00Z</dcterms:created>
  <dcterms:modified xsi:type="dcterms:W3CDTF">2021-11-24T11:53:00Z</dcterms:modified>
</cp:coreProperties>
</file>