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70" w:rsidRDefault="007A3670">
      <w:pPr>
        <w:pStyle w:val="Nzev"/>
        <w:jc w:val="both"/>
        <w:rPr>
          <w:sz w:val="20"/>
        </w:rPr>
      </w:pPr>
    </w:p>
    <w:p w:rsidR="007A3670" w:rsidRDefault="007A3670">
      <w:pPr>
        <w:pStyle w:val="Nzev"/>
        <w:rPr>
          <w:sz w:val="72"/>
        </w:rPr>
      </w:pPr>
      <w:r>
        <w:rPr>
          <w:sz w:val="72"/>
        </w:rPr>
        <w:t>Jihočeský kraj</w:t>
      </w:r>
    </w:p>
    <w:p w:rsidR="007A3670" w:rsidRDefault="007A3670">
      <w:pPr>
        <w:jc w:val="both"/>
        <w:rPr>
          <w:b/>
          <w:bCs/>
          <w:caps/>
          <w:sz w:val="80"/>
        </w:rPr>
      </w:pPr>
    </w:p>
    <w:p w:rsidR="007A3670" w:rsidRDefault="00BE4B68">
      <w:pPr>
        <w:jc w:val="center"/>
      </w:pPr>
      <w:r>
        <w:rPr>
          <w:noProof/>
        </w:rPr>
        <w:drawing>
          <wp:inline distT="0" distB="0" distL="0" distR="0">
            <wp:extent cx="1533525" cy="1838325"/>
            <wp:effectExtent l="0" t="0" r="9525" b="9525"/>
            <wp:docPr id="1" name="obrázek 1" descr="Znak 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J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70" w:rsidRDefault="007A3670"/>
    <w:p w:rsidR="007A3670" w:rsidRDefault="007A3670">
      <w:pPr>
        <w:pStyle w:val="Zkladntextodsazen3"/>
        <w:ind w:left="0" w:firstLine="0"/>
        <w:rPr>
          <w:b w:val="0"/>
          <w:bCs w:val="0"/>
          <w:caps/>
        </w:rPr>
      </w:pPr>
    </w:p>
    <w:p w:rsidR="007A3670" w:rsidRDefault="007A3670">
      <w:pPr>
        <w:pStyle w:val="Zkladntextodsazen3"/>
        <w:ind w:left="0" w:firstLine="0"/>
        <w:jc w:val="center"/>
        <w:rPr>
          <w:caps/>
          <w:sz w:val="44"/>
        </w:rPr>
      </w:pPr>
      <w:r>
        <w:rPr>
          <w:caps/>
          <w:sz w:val="44"/>
        </w:rPr>
        <w:t>Směrnice</w:t>
      </w:r>
    </w:p>
    <w:p w:rsidR="007A3670" w:rsidRDefault="007A3670">
      <w:pPr>
        <w:rPr>
          <w:b/>
          <w:bCs/>
          <w:caps/>
          <w:sz w:val="28"/>
        </w:rPr>
      </w:pPr>
    </w:p>
    <w:p w:rsidR="007D5544" w:rsidRDefault="007D5544">
      <w:pPr>
        <w:rPr>
          <w:b/>
          <w:bCs/>
          <w:caps/>
          <w:sz w:val="28"/>
        </w:rPr>
      </w:pPr>
    </w:p>
    <w:p w:rsidR="007A3670" w:rsidRDefault="007A3670">
      <w:pPr>
        <w:ind w:left="1191" w:hanging="1191"/>
        <w:jc w:val="both"/>
        <w:rPr>
          <w:b/>
          <w:bCs/>
          <w:sz w:val="28"/>
        </w:rPr>
      </w:pPr>
      <w:r>
        <w:rPr>
          <w:b/>
          <w:bCs/>
          <w:caps/>
          <w:sz w:val="28"/>
        </w:rPr>
        <w:t>název:</w:t>
      </w:r>
      <w:r>
        <w:rPr>
          <w:b/>
          <w:bCs/>
          <w:sz w:val="28"/>
        </w:rPr>
        <w:t xml:space="preserve"> Směrnice o poskytování informací podle zákona č. 106/1999 Sb., o svobodném přístupu k informacím</w:t>
      </w:r>
    </w:p>
    <w:p w:rsidR="007A3670" w:rsidRDefault="007A3670">
      <w:pPr>
        <w:rPr>
          <w:b/>
          <w:bCs/>
          <w:sz w:val="28"/>
        </w:rPr>
      </w:pPr>
    </w:p>
    <w:p w:rsidR="007D5544" w:rsidRDefault="007D5544">
      <w:pPr>
        <w:rPr>
          <w:b/>
          <w:bCs/>
          <w:sz w:val="28"/>
        </w:rPr>
      </w:pPr>
    </w:p>
    <w:p w:rsidR="007A3670" w:rsidRDefault="007A3670">
      <w:pPr>
        <w:rPr>
          <w:b/>
          <w:bCs/>
          <w:sz w:val="28"/>
        </w:rPr>
      </w:pPr>
      <w:r>
        <w:rPr>
          <w:b/>
          <w:bCs/>
          <w:sz w:val="28"/>
        </w:rPr>
        <w:t xml:space="preserve">ČÍSLO: SM/10/RK </w:t>
      </w:r>
    </w:p>
    <w:p w:rsidR="007A3670" w:rsidRDefault="007A3670">
      <w:pPr>
        <w:rPr>
          <w:b/>
          <w:bCs/>
          <w:sz w:val="28"/>
        </w:rPr>
      </w:pPr>
      <w:r>
        <w:rPr>
          <w:b/>
          <w:bCs/>
          <w:sz w:val="28"/>
        </w:rPr>
        <w:t xml:space="preserve">ZMĚNA Č.: </w:t>
      </w:r>
      <w:r w:rsidR="00953054">
        <w:rPr>
          <w:b/>
          <w:bCs/>
          <w:sz w:val="28"/>
        </w:rPr>
        <w:t>6</w:t>
      </w:r>
    </w:p>
    <w:p w:rsidR="007D5544" w:rsidRDefault="007A3670">
      <w:pPr>
        <w:rPr>
          <w:b/>
          <w:bCs/>
          <w:sz w:val="28"/>
        </w:rPr>
      </w:pPr>
      <w:r>
        <w:rPr>
          <w:b/>
          <w:bCs/>
          <w:sz w:val="28"/>
        </w:rPr>
        <w:t>PLATN</w:t>
      </w:r>
      <w:r w:rsidR="008016CC">
        <w:rPr>
          <w:b/>
          <w:bCs/>
          <w:sz w:val="28"/>
        </w:rPr>
        <w:t>OST OD:</w:t>
      </w:r>
      <w:r w:rsidR="008016CC">
        <w:rPr>
          <w:b/>
          <w:bCs/>
          <w:sz w:val="28"/>
        </w:rPr>
        <w:tab/>
        <w:t>7</w:t>
      </w:r>
      <w:r w:rsidR="007D5544">
        <w:rPr>
          <w:b/>
          <w:bCs/>
          <w:sz w:val="28"/>
        </w:rPr>
        <w:t xml:space="preserve">. </w:t>
      </w:r>
      <w:r w:rsidR="008016CC">
        <w:rPr>
          <w:b/>
          <w:bCs/>
          <w:sz w:val="28"/>
        </w:rPr>
        <w:t>2</w:t>
      </w:r>
      <w:r w:rsidR="00953054">
        <w:rPr>
          <w:b/>
          <w:bCs/>
          <w:sz w:val="28"/>
        </w:rPr>
        <w:t>. 2019</w:t>
      </w:r>
    </w:p>
    <w:p w:rsidR="007A3670" w:rsidRDefault="00953054">
      <w:pPr>
        <w:rPr>
          <w:b/>
          <w:bCs/>
        </w:rPr>
      </w:pPr>
      <w:r>
        <w:rPr>
          <w:b/>
          <w:bCs/>
          <w:sz w:val="28"/>
        </w:rPr>
        <w:t>ÚČINNOST OD:</w:t>
      </w:r>
      <w:r>
        <w:rPr>
          <w:b/>
          <w:bCs/>
          <w:sz w:val="28"/>
        </w:rPr>
        <w:tab/>
      </w:r>
      <w:r w:rsidR="008016CC">
        <w:rPr>
          <w:b/>
          <w:bCs/>
          <w:sz w:val="28"/>
        </w:rPr>
        <w:t>8</w:t>
      </w:r>
      <w:r w:rsidR="007D5544">
        <w:rPr>
          <w:b/>
          <w:bCs/>
          <w:sz w:val="28"/>
        </w:rPr>
        <w:t xml:space="preserve">. </w:t>
      </w:r>
      <w:r w:rsidR="00A35F81">
        <w:rPr>
          <w:b/>
          <w:bCs/>
          <w:sz w:val="28"/>
        </w:rPr>
        <w:t>2</w:t>
      </w:r>
      <w:r>
        <w:rPr>
          <w:b/>
          <w:bCs/>
          <w:sz w:val="28"/>
        </w:rPr>
        <w:t>. 2019</w:t>
      </w:r>
    </w:p>
    <w:p w:rsidR="007A3670" w:rsidRDefault="007A3670">
      <w:pPr>
        <w:ind w:left="3240" w:hanging="3240"/>
        <w:rPr>
          <w:b/>
          <w:bCs/>
          <w:sz w:val="44"/>
        </w:rPr>
      </w:pPr>
      <w:r>
        <w:rPr>
          <w:b/>
          <w:bCs/>
          <w:caps/>
          <w:sz w:val="28"/>
        </w:rPr>
        <w:t>Rozsah působnosti: K</w:t>
      </w:r>
      <w:r>
        <w:rPr>
          <w:b/>
          <w:bCs/>
          <w:sz w:val="28"/>
        </w:rPr>
        <w:t>rajský úřad Jihočeského kraje</w:t>
      </w:r>
    </w:p>
    <w:p w:rsidR="007A3670" w:rsidRDefault="007A3670"/>
    <w:p w:rsidR="007A3670" w:rsidRDefault="007A3670"/>
    <w:p w:rsidR="009C7F98" w:rsidRDefault="007A3670">
      <w:pPr>
        <w:pBdr>
          <w:top w:val="single" w:sz="4" w:space="1" w:color="auto"/>
        </w:pBdr>
        <w:tabs>
          <w:tab w:val="left" w:pos="1260"/>
        </w:tabs>
        <w:ind w:left="1260" w:hanging="1260"/>
        <w:jc w:val="both"/>
      </w:pPr>
      <w:r w:rsidRPr="005A6AC3">
        <w:t xml:space="preserve">Vypracoval: JUDr. </w:t>
      </w:r>
      <w:r w:rsidR="005A6AC3" w:rsidRPr="00CA2FEE">
        <w:t>Lukáš Glaser</w:t>
      </w:r>
      <w:r w:rsidRPr="005A6AC3">
        <w:t>, vedoucí odboru OLVV</w:t>
      </w:r>
      <w:r w:rsidR="009C7F98">
        <w:t>,</w:t>
      </w:r>
    </w:p>
    <w:p w:rsidR="007A3670" w:rsidRPr="005A6AC3" w:rsidRDefault="009C7F98" w:rsidP="009C7F98">
      <w:pPr>
        <w:pBdr>
          <w:top w:val="single" w:sz="4" w:space="1" w:color="auto"/>
        </w:pBdr>
        <w:tabs>
          <w:tab w:val="left" w:pos="1260"/>
        </w:tabs>
        <w:spacing w:line="276" w:lineRule="auto"/>
        <w:ind w:left="1260" w:hanging="1260"/>
        <w:jc w:val="both"/>
      </w:pPr>
      <w:r>
        <w:tab/>
      </w:r>
      <w:r w:rsidR="00736EEC">
        <w:t>Mgr. František Malý, právník OLVV</w:t>
      </w:r>
    </w:p>
    <w:p w:rsidR="007A3670" w:rsidRPr="005A6AC3" w:rsidRDefault="007A3670" w:rsidP="009C7F98">
      <w:pPr>
        <w:pBdr>
          <w:top w:val="single" w:sz="4" w:space="1" w:color="auto"/>
        </w:pBdr>
        <w:spacing w:line="276" w:lineRule="auto"/>
      </w:pPr>
      <w:r w:rsidRPr="005A6AC3">
        <w:t xml:space="preserve">Za aktualizaci zodpovídá: </w:t>
      </w:r>
      <w:r w:rsidR="004655FD">
        <w:t>Mgr. Petr Soukup</w:t>
      </w:r>
      <w:r w:rsidR="00DB1E3A">
        <w:t>, vedoucí odboru KHEJ</w:t>
      </w:r>
    </w:p>
    <w:p w:rsidR="007A3670" w:rsidRDefault="007A3670" w:rsidP="009C7F98">
      <w:pPr>
        <w:pBdr>
          <w:top w:val="single" w:sz="4" w:space="1" w:color="auto"/>
        </w:pBdr>
        <w:spacing w:line="276" w:lineRule="auto"/>
      </w:pPr>
      <w:r w:rsidRPr="00873908">
        <w:t xml:space="preserve">Schválila: Rada Jihočeského kraje </w:t>
      </w:r>
      <w:r w:rsidRPr="001303E2">
        <w:t xml:space="preserve">usnesením č. </w:t>
      </w:r>
      <w:r w:rsidR="001303E2" w:rsidRPr="001303E2">
        <w:t xml:space="preserve">138/2019/RK-61 </w:t>
      </w:r>
      <w:r w:rsidRPr="001303E2">
        <w:t>ze dne</w:t>
      </w:r>
      <w:r w:rsidR="001303E2" w:rsidRPr="001303E2">
        <w:t xml:space="preserve"> 7. 2. 2019</w:t>
      </w:r>
      <w:r w:rsidRPr="00873908">
        <w:t xml:space="preserve"> </w:t>
      </w:r>
    </w:p>
    <w:p w:rsidR="007A3670" w:rsidRDefault="007A3670">
      <w:pPr>
        <w:pBdr>
          <w:top w:val="single" w:sz="4" w:space="1" w:color="auto"/>
        </w:pBdr>
      </w:pPr>
    </w:p>
    <w:p w:rsidR="007A3670" w:rsidRDefault="007A3670">
      <w:pPr>
        <w:pBdr>
          <w:top w:val="single" w:sz="4" w:space="1" w:color="auto"/>
        </w:pBdr>
      </w:pPr>
    </w:p>
    <w:p w:rsidR="007A3670" w:rsidRDefault="007A3670">
      <w:pPr>
        <w:ind w:left="964" w:hanging="964"/>
        <w:jc w:val="both"/>
      </w:pPr>
      <w:r w:rsidRPr="005A6AC3">
        <w:t xml:space="preserve">Vydáno: v tištěné podobě, na intranetu na adrese: </w:t>
      </w:r>
      <w:r w:rsidR="007D5544">
        <w:t>Vnitřní předpisy KÚ</w:t>
      </w:r>
    </w:p>
    <w:p w:rsidR="007A3670" w:rsidRDefault="007A3670">
      <w:pPr>
        <w:pStyle w:val="Zkladntext"/>
      </w:pPr>
      <w:r>
        <w:rPr>
          <w:b/>
          <w:bCs/>
        </w:rPr>
        <w:br w:type="page"/>
      </w:r>
      <w:r>
        <w:rPr>
          <w:b/>
          <w:bCs/>
        </w:rPr>
        <w:lastRenderedPageBreak/>
        <w:t>Změnový list ke směrnici č.: SM/10/RK</w:t>
      </w:r>
    </w:p>
    <w:p w:rsidR="007A3670" w:rsidRDefault="007A3670">
      <w:pPr>
        <w:pStyle w:val="Zkladntext"/>
      </w:pPr>
    </w:p>
    <w:tbl>
      <w:tblPr>
        <w:tblW w:w="9000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200"/>
      </w:tblGrid>
      <w:tr w:rsidR="007A3670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Pr="00A437D3" w:rsidRDefault="007A3670">
            <w:pPr>
              <w:rPr>
                <w:rFonts w:ascii="Arial" w:hAnsi="Arial" w:cs="Arial"/>
                <w:sz w:val="20"/>
                <w:szCs w:val="20"/>
              </w:rPr>
            </w:pPr>
            <w:r w:rsidRPr="00A437D3"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Pr="00A437D3" w:rsidRDefault="007A3670">
            <w:pPr>
              <w:pStyle w:val="Nadpis8"/>
              <w:rPr>
                <w:rFonts w:ascii="Arial" w:hAnsi="Arial" w:cs="Arial"/>
                <w:b w:val="0"/>
                <w:bCs w:val="0"/>
              </w:rPr>
            </w:pPr>
            <w:r w:rsidRPr="00A437D3">
              <w:rPr>
                <w:rFonts w:ascii="Arial" w:hAnsi="Arial" w:cs="Arial"/>
                <w:b w:val="0"/>
                <w:bCs w:val="0"/>
                <w:sz w:val="22"/>
              </w:rPr>
              <w:t>Původní vydání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25. 9. 2001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změny:*)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pStyle w:val="Textpoznpodaro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2. 12. 2003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celém rozsahu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pStyle w:val="Textpoznpodaro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1. 2. 2005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celém rozsahu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1. 4. 2007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celém rozsahu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5A6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321DC3" w:rsidP="00321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36EEC">
              <w:rPr>
                <w:rFonts w:ascii="Arial" w:hAnsi="Arial" w:cs="Arial"/>
                <w:sz w:val="20"/>
                <w:szCs w:val="20"/>
              </w:rPr>
              <w:t>.</w:t>
            </w:r>
            <w:r w:rsidR="00A461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36EEC">
              <w:rPr>
                <w:rFonts w:ascii="Arial" w:hAnsi="Arial" w:cs="Arial"/>
                <w:sz w:val="20"/>
                <w:szCs w:val="20"/>
              </w:rPr>
              <w:t>.</w:t>
            </w:r>
            <w:r w:rsidR="00A461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EE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A6AC3">
              <w:rPr>
                <w:rFonts w:ascii="Arial" w:hAnsi="Arial" w:cs="Arial"/>
                <w:sz w:val="20"/>
                <w:szCs w:val="20"/>
              </w:rPr>
              <w:t>v celém rozsahu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22B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22B69">
              <w:rPr>
                <w:rFonts w:ascii="Arial" w:hAnsi="Arial" w:cs="Arial"/>
                <w:sz w:val="20"/>
                <w:szCs w:val="20"/>
              </w:rPr>
              <w:t>21.</w:t>
            </w:r>
            <w:r w:rsidR="00A437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B69">
              <w:rPr>
                <w:rFonts w:ascii="Arial" w:hAnsi="Arial" w:cs="Arial"/>
                <w:sz w:val="20"/>
                <w:szCs w:val="20"/>
              </w:rPr>
              <w:t>12.</w:t>
            </w:r>
            <w:r w:rsidR="00A437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B6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A22B69" w:rsidP="00E70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aktualizace účetního období v příloze č. </w:t>
            </w:r>
            <w:r w:rsidR="00E70DD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DD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Sazebník</w:t>
            </w:r>
            <w:r w:rsidR="00E70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DD7" w:rsidRPr="00E70DD7">
              <w:rPr>
                <w:rFonts w:ascii="Arial" w:hAnsi="Arial" w:cs="Arial"/>
                <w:bCs/>
                <w:sz w:val="20"/>
                <w:szCs w:val="20"/>
              </w:rPr>
              <w:t>úhrad nákladů za poskytování informací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B4C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 w:rsidP="00801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016CC">
              <w:rPr>
                <w:rFonts w:ascii="Arial" w:hAnsi="Arial" w:cs="Arial"/>
                <w:sz w:val="20"/>
                <w:szCs w:val="20"/>
              </w:rPr>
              <w:t>7</w:t>
            </w:r>
            <w:r w:rsidR="00DF16D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016CC">
              <w:rPr>
                <w:rFonts w:ascii="Arial" w:hAnsi="Arial" w:cs="Arial"/>
                <w:sz w:val="20"/>
                <w:szCs w:val="20"/>
              </w:rPr>
              <w:t>2</w:t>
            </w:r>
            <w:r w:rsidR="00DF16D7">
              <w:rPr>
                <w:rFonts w:ascii="Arial" w:hAnsi="Arial" w:cs="Arial"/>
                <w:sz w:val="20"/>
                <w:szCs w:val="20"/>
              </w:rPr>
              <w:t>. 2019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4B4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postupu správce při obdržení žádosti o plat, aktualizace</w:t>
            </w:r>
            <w:r w:rsidR="008016CC">
              <w:rPr>
                <w:rFonts w:ascii="Arial" w:hAnsi="Arial" w:cs="Arial"/>
                <w:sz w:val="20"/>
                <w:szCs w:val="20"/>
              </w:rPr>
              <w:t xml:space="preserve"> účetního období</w:t>
            </w:r>
            <w:r>
              <w:rPr>
                <w:rFonts w:ascii="Arial" w:hAnsi="Arial" w:cs="Arial"/>
                <w:sz w:val="20"/>
                <w:szCs w:val="20"/>
              </w:rPr>
              <w:t xml:space="preserve"> sazebníku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 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3670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3670" w:rsidRDefault="007A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A3670" w:rsidRDefault="007A3670"/>
    <w:p w:rsidR="007A3670" w:rsidRDefault="007A3670">
      <w:pPr>
        <w:ind w:left="284" w:hanging="284"/>
        <w:jc w:val="both"/>
      </w:pPr>
      <w:r>
        <w:t>*) Předmětem změny se rozumí</w:t>
      </w:r>
      <w:r w:rsidR="00A437D3">
        <w:t>,</w:t>
      </w:r>
      <w:r w:rsidR="00C45F05">
        <w:t xml:space="preserve"> </w:t>
      </w:r>
      <w:r>
        <w:t>v čem nastala úprava (článek, strana apod.), při rozsáhlejších úpravách možno uvést v celém rozsahu.</w:t>
      </w:r>
    </w:p>
    <w:p w:rsidR="007A3670" w:rsidRDefault="007A3670">
      <w:pPr>
        <w:jc w:val="center"/>
        <w:rPr>
          <w:b/>
          <w:bCs/>
          <w:sz w:val="28"/>
        </w:rPr>
      </w:pPr>
      <w:r>
        <w:br w:type="page"/>
      </w:r>
      <w:r>
        <w:rPr>
          <w:b/>
          <w:bCs/>
          <w:sz w:val="28"/>
        </w:rPr>
        <w:lastRenderedPageBreak/>
        <w:t>Směrnice o poskytování informací podle zákona č.</w:t>
      </w:r>
      <w:r>
        <w:rPr>
          <w:b/>
          <w:bCs/>
          <w:caps/>
          <w:sz w:val="28"/>
        </w:rPr>
        <w:t xml:space="preserve"> </w:t>
      </w:r>
      <w:r>
        <w:rPr>
          <w:b/>
          <w:bCs/>
          <w:sz w:val="28"/>
        </w:rPr>
        <w:t>106/1999 Sb., o svobodném přístupu k</w:t>
      </w:r>
      <w:r w:rsidR="00DB1E3A">
        <w:rPr>
          <w:b/>
          <w:bCs/>
          <w:sz w:val="28"/>
        </w:rPr>
        <w:t> </w:t>
      </w:r>
      <w:r>
        <w:rPr>
          <w:b/>
          <w:bCs/>
          <w:sz w:val="28"/>
        </w:rPr>
        <w:t>informacím</w:t>
      </w:r>
    </w:p>
    <w:p w:rsidR="007A3670" w:rsidRDefault="007A3670">
      <w:pPr>
        <w:jc w:val="both"/>
      </w:pPr>
    </w:p>
    <w:p w:rsidR="007A3670" w:rsidRDefault="007A36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Část I</w:t>
      </w:r>
    </w:p>
    <w:p w:rsidR="007A3670" w:rsidRDefault="007A36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Obecná ustanovení</w:t>
      </w:r>
    </w:p>
    <w:p w:rsidR="007A3670" w:rsidRDefault="007A3670">
      <w:pPr>
        <w:jc w:val="both"/>
      </w:pP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Článek 1</w:t>
      </w:r>
    </w:p>
    <w:p w:rsidR="00CA2FEE" w:rsidRDefault="00CA2FEE">
      <w:pPr>
        <w:jc w:val="center"/>
        <w:rPr>
          <w:b/>
          <w:bCs/>
        </w:rPr>
      </w:pPr>
      <w:r>
        <w:rPr>
          <w:b/>
          <w:bCs/>
        </w:rPr>
        <w:t>Působnost směrnice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1"/>
        </w:numPr>
        <w:tabs>
          <w:tab w:val="clear" w:pos="1800"/>
        </w:tabs>
        <w:ind w:left="540" w:hanging="540"/>
        <w:jc w:val="both"/>
      </w:pPr>
      <w:r>
        <w:t>Tato směrnice upravuje:</w:t>
      </w:r>
    </w:p>
    <w:p w:rsidR="007A3670" w:rsidRDefault="007A3670" w:rsidP="00CA2FEE">
      <w:pPr>
        <w:numPr>
          <w:ilvl w:val="1"/>
          <w:numId w:val="1"/>
        </w:numPr>
        <w:tabs>
          <w:tab w:val="clear" w:pos="1440"/>
        </w:tabs>
        <w:ind w:left="900"/>
        <w:jc w:val="both"/>
      </w:pPr>
      <w:r>
        <w:t xml:space="preserve">postup Jihočeského kraje </w:t>
      </w:r>
      <w:r w:rsidR="00ED5CEE">
        <w:t xml:space="preserve">(dále jen „kraj“) </w:t>
      </w:r>
      <w:r>
        <w:t>jako povinného subjektu při poskytování informací podle zákona č. 106/1999 Sb. o svobodném přístupu k informacím, ve znění pozdějších předpisů (dále jen „zákon”) a podle zákona č. 123/1998 Sb., o právu na informace</w:t>
      </w:r>
      <w:r w:rsidR="00ED5CEE">
        <w:t xml:space="preserve"> </w:t>
      </w:r>
      <w:r>
        <w:t>o životním prostředí, ve znění pozdější</w:t>
      </w:r>
      <w:r w:rsidR="00E81DD4">
        <w:t>ch předpisů (dále jen „zákon o </w:t>
      </w:r>
      <w:r>
        <w:t>informacích</w:t>
      </w:r>
      <w:r w:rsidR="00ED5CEE">
        <w:t xml:space="preserve"> </w:t>
      </w:r>
      <w:r>
        <w:t>o ŽP”),</w:t>
      </w:r>
    </w:p>
    <w:p w:rsidR="007A3670" w:rsidRDefault="007A3670" w:rsidP="00CA2FEE">
      <w:pPr>
        <w:numPr>
          <w:ilvl w:val="1"/>
          <w:numId w:val="1"/>
        </w:numPr>
        <w:tabs>
          <w:tab w:val="clear" w:pos="1440"/>
        </w:tabs>
        <w:ind w:left="900"/>
        <w:jc w:val="both"/>
      </w:pPr>
      <w:r>
        <w:t xml:space="preserve">postup Krajského úřadu Jihočeského kraje </w:t>
      </w:r>
      <w:r w:rsidR="00ED5CEE">
        <w:t xml:space="preserve">(dále jen „krajský úřad“) </w:t>
      </w:r>
      <w:r>
        <w:t>jako nadřízeného orgánu podle ust. § 178 odst. 2 zákon</w:t>
      </w:r>
      <w:r w:rsidR="00E81DD4">
        <w:t xml:space="preserve">a č. 500/2004 Sb., správní řád, </w:t>
      </w:r>
      <w:r>
        <w:t xml:space="preserve">ve znění pozdějších předpisů, při rozhodování o odvolání proti rozhodnutí obce o odmítnutí žádosti o informace </w:t>
      </w:r>
      <w:r w:rsidR="006667E0">
        <w:t xml:space="preserve">nebo její části </w:t>
      </w:r>
      <w:r>
        <w:t xml:space="preserve">a rozhodování o stížnosti na postup obce při vyřizování žádosti o informace </w:t>
      </w:r>
      <w:r w:rsidR="006667E0">
        <w:t xml:space="preserve">nebo její části </w:t>
      </w:r>
      <w:r>
        <w:t>podle zákona,</w:t>
      </w:r>
    </w:p>
    <w:p w:rsidR="007A3670" w:rsidRDefault="007A3670" w:rsidP="00CA2FEE">
      <w:pPr>
        <w:numPr>
          <w:ilvl w:val="1"/>
          <w:numId w:val="1"/>
        </w:numPr>
        <w:tabs>
          <w:tab w:val="clear" w:pos="1440"/>
        </w:tabs>
        <w:ind w:left="900"/>
        <w:jc w:val="both"/>
      </w:pPr>
      <w:r>
        <w:t xml:space="preserve">postup kraje jako nadřízeného orgánu podle ust. § 178 odst. 2 zákona č. 500/2004 Sb., správní řád, ve znění pozdějších předpisů, při rozhodování o odvolání proti rozhodnutí organizace zřízené krajem o odmítnutí žádosti o informace </w:t>
      </w:r>
      <w:r w:rsidR="006667E0">
        <w:t xml:space="preserve">nebo její části </w:t>
      </w:r>
      <w:r w:rsidR="00953054">
        <w:t>a </w:t>
      </w:r>
      <w:r>
        <w:t xml:space="preserve">rozhodování o stížnosti na postup organizace zřízené krajem při vyřizování žádosti o informace </w:t>
      </w:r>
      <w:r w:rsidR="006667E0">
        <w:t xml:space="preserve">nebo její části </w:t>
      </w:r>
      <w:r>
        <w:t>podle zákona.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1"/>
        </w:numPr>
        <w:tabs>
          <w:tab w:val="clear" w:pos="1800"/>
        </w:tabs>
        <w:ind w:left="540" w:hanging="540"/>
        <w:jc w:val="both"/>
      </w:pPr>
      <w:r>
        <w:t>Tato směrnice se nevztahuje na poskytování informací podle § 38 zákona č. 500/2004 Sb. správní řád, ve znění pozdějších předpisů</w:t>
      </w:r>
      <w:r w:rsidR="006667E0">
        <w:t xml:space="preserve"> (nahlížení do spisu)</w:t>
      </w:r>
      <w:r>
        <w:t xml:space="preserve">, poskytování informací podle zvláštních </w:t>
      </w:r>
      <w:r w:rsidR="006667E0">
        <w:t xml:space="preserve">právních </w:t>
      </w:r>
      <w:r>
        <w:t>předpisů mimo zákon o informacích o ŽP a na poskytování obecných informací o činnosti orgánů kraje, zejména hromadným sdělovacím prostředkům.</w:t>
      </w:r>
    </w:p>
    <w:p w:rsidR="007A3670" w:rsidRDefault="007A3670">
      <w:pPr>
        <w:jc w:val="both"/>
      </w:pP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Článek 2</w:t>
      </w:r>
    </w:p>
    <w:p w:rsidR="00CA2FEE" w:rsidRDefault="00CA2FEE">
      <w:pPr>
        <w:jc w:val="center"/>
        <w:rPr>
          <w:b/>
          <w:bCs/>
        </w:rPr>
      </w:pPr>
      <w:r>
        <w:rPr>
          <w:b/>
          <w:bCs/>
        </w:rPr>
        <w:t>Vymezení působnosti orgánů kraje</w:t>
      </w:r>
    </w:p>
    <w:p w:rsidR="007A3670" w:rsidRDefault="007A3670">
      <w:pPr>
        <w:jc w:val="both"/>
      </w:pPr>
    </w:p>
    <w:p w:rsidR="007A3670" w:rsidRDefault="007A3670" w:rsidP="00CA2FEE">
      <w:pPr>
        <w:pStyle w:val="Zkladntext"/>
        <w:numPr>
          <w:ilvl w:val="0"/>
          <w:numId w:val="17"/>
        </w:numPr>
        <w:tabs>
          <w:tab w:val="clear" w:pos="720"/>
        </w:tabs>
        <w:ind w:left="540" w:hanging="540"/>
        <w:rPr>
          <w:sz w:val="24"/>
        </w:rPr>
      </w:pPr>
      <w:r>
        <w:rPr>
          <w:sz w:val="24"/>
        </w:rPr>
        <w:t xml:space="preserve">Orgánem kraje zajišťujícím poskytování informací podle zákona a zákona o informacích o ŽP (dále jen „poskytování informací”) je krajský úřad. </w:t>
      </w:r>
    </w:p>
    <w:p w:rsidR="007A3670" w:rsidRDefault="007A3670">
      <w:pPr>
        <w:pStyle w:val="Zkladntext"/>
      </w:pPr>
    </w:p>
    <w:p w:rsidR="007A3670" w:rsidRDefault="007A3670" w:rsidP="00CA2FEE">
      <w:pPr>
        <w:pStyle w:val="Zkladntext"/>
        <w:numPr>
          <w:ilvl w:val="0"/>
          <w:numId w:val="17"/>
        </w:numPr>
        <w:tabs>
          <w:tab w:val="clear" w:pos="720"/>
        </w:tabs>
        <w:ind w:left="540" w:hanging="540"/>
        <w:rPr>
          <w:sz w:val="24"/>
        </w:rPr>
      </w:pPr>
      <w:r>
        <w:rPr>
          <w:sz w:val="24"/>
        </w:rPr>
        <w:t xml:space="preserve">Orgánem kraje zajišťujícím rozhodování ve věcech uvedených v čl. 1 odst. 1 písm. c) je </w:t>
      </w:r>
      <w:r w:rsidR="00276B21">
        <w:rPr>
          <w:sz w:val="24"/>
        </w:rPr>
        <w:t>r</w:t>
      </w:r>
      <w:r>
        <w:rPr>
          <w:sz w:val="24"/>
        </w:rPr>
        <w:t>ada kraje.</w:t>
      </w:r>
    </w:p>
    <w:p w:rsidR="007A3670" w:rsidRDefault="007A3670">
      <w:pPr>
        <w:pStyle w:val="Zkladntext"/>
        <w:rPr>
          <w:sz w:val="24"/>
        </w:rPr>
      </w:pPr>
    </w:p>
    <w:p w:rsidR="00FF1E14" w:rsidRDefault="007A3670" w:rsidP="00CA2FEE">
      <w:pPr>
        <w:pStyle w:val="Zkladntext"/>
        <w:numPr>
          <w:ilvl w:val="0"/>
          <w:numId w:val="17"/>
        </w:numPr>
        <w:tabs>
          <w:tab w:val="clear" w:pos="720"/>
        </w:tabs>
        <w:ind w:left="540" w:hanging="540"/>
        <w:rPr>
          <w:sz w:val="24"/>
        </w:rPr>
      </w:pPr>
      <w:r>
        <w:rPr>
          <w:sz w:val="24"/>
        </w:rPr>
        <w:t>Odbory a samostatná oddělení krajského úřadu, které se na poskytování informací podílejí, jsou určeny touto směrnicí.</w:t>
      </w:r>
    </w:p>
    <w:p w:rsidR="007A3670" w:rsidRDefault="007A3670" w:rsidP="00FF1E14"/>
    <w:p w:rsidR="007A3670" w:rsidRDefault="00736E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7A3670">
        <w:rPr>
          <w:b/>
          <w:bCs/>
          <w:sz w:val="28"/>
        </w:rPr>
        <w:lastRenderedPageBreak/>
        <w:t>Část II</w:t>
      </w:r>
    </w:p>
    <w:p w:rsidR="007A3670" w:rsidRDefault="007A36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Poskytování informací podle zákona</w:t>
      </w:r>
    </w:p>
    <w:p w:rsidR="007A3670" w:rsidRDefault="007A3670">
      <w:pPr>
        <w:jc w:val="both"/>
      </w:pP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Článek 3</w:t>
      </w: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Působnost odborů a samostatných oddělení krajského úřadu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2"/>
        </w:numPr>
        <w:tabs>
          <w:tab w:val="clear" w:pos="1800"/>
        </w:tabs>
        <w:ind w:left="540" w:hanging="540"/>
        <w:jc w:val="both"/>
      </w:pPr>
      <w:r>
        <w:t>Správcem procesu poskytování informací je odbor kancelář hejtman</w:t>
      </w:r>
      <w:r w:rsidR="00BA7C4B">
        <w:t>ky</w:t>
      </w:r>
      <w:r>
        <w:t xml:space="preserve"> (dále jen „správce”). 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2"/>
        </w:numPr>
        <w:tabs>
          <w:tab w:val="clear" w:pos="1800"/>
        </w:tabs>
        <w:ind w:left="540" w:hanging="540"/>
        <w:jc w:val="both"/>
      </w:pPr>
      <w:r>
        <w:t>Správce zajišťuje:</w:t>
      </w:r>
    </w:p>
    <w:p w:rsidR="007A3670" w:rsidRDefault="007A3670" w:rsidP="00CA2FEE">
      <w:pPr>
        <w:numPr>
          <w:ilvl w:val="1"/>
          <w:numId w:val="2"/>
        </w:numPr>
        <w:tabs>
          <w:tab w:val="clear" w:pos="1440"/>
        </w:tabs>
        <w:ind w:left="900"/>
        <w:jc w:val="both"/>
      </w:pPr>
      <w:r>
        <w:t>poskytování informací zveřejněním v rozsahu stanoveném v § 5 zákona,</w:t>
      </w:r>
    </w:p>
    <w:p w:rsidR="007A3670" w:rsidRDefault="007A3670" w:rsidP="00CA2FEE">
      <w:pPr>
        <w:numPr>
          <w:ilvl w:val="1"/>
          <w:numId w:val="2"/>
        </w:numPr>
        <w:tabs>
          <w:tab w:val="clear" w:pos="1440"/>
        </w:tabs>
        <w:ind w:left="900"/>
        <w:jc w:val="both"/>
      </w:pPr>
      <w:r>
        <w:t xml:space="preserve">poskytování informací na žádost o </w:t>
      </w:r>
      <w:r w:rsidR="00276B21">
        <w:t xml:space="preserve">poskytnutí </w:t>
      </w:r>
      <w:r>
        <w:t xml:space="preserve">informace </w:t>
      </w:r>
      <w:r w:rsidR="00C43D66">
        <w:t>podanou písemně nebo</w:t>
      </w:r>
      <w:r w:rsidR="006667E0">
        <w:t xml:space="preserve"> </w:t>
      </w:r>
      <w:r w:rsidR="00C43D66">
        <w:t xml:space="preserve">prostřednictvím sítě nebo služby elektronických komunikací </w:t>
      </w:r>
      <w:r>
        <w:t>(dále jen „žádost”) v</w:t>
      </w:r>
      <w:r w:rsidR="00FF1E14">
        <w:t> </w:t>
      </w:r>
      <w:r>
        <w:t>případech, kdy je žádosti zcela nebo částečně vyhověno,</w:t>
      </w:r>
    </w:p>
    <w:p w:rsidR="007A3670" w:rsidRDefault="007A3670" w:rsidP="00CA2FEE">
      <w:pPr>
        <w:numPr>
          <w:ilvl w:val="1"/>
          <w:numId w:val="2"/>
        </w:numPr>
        <w:tabs>
          <w:tab w:val="clear" w:pos="1440"/>
        </w:tabs>
        <w:ind w:left="900"/>
        <w:jc w:val="both"/>
      </w:pPr>
      <w:r>
        <w:t xml:space="preserve">evidenci </w:t>
      </w:r>
      <w:r w:rsidR="00DB1E3A">
        <w:t xml:space="preserve">přijatých </w:t>
      </w:r>
      <w:r>
        <w:t>žádostí a způsob jejich vyřízení.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2"/>
        </w:numPr>
        <w:tabs>
          <w:tab w:val="clear" w:pos="1800"/>
        </w:tabs>
        <w:ind w:left="540" w:hanging="540"/>
        <w:jc w:val="both"/>
      </w:pPr>
      <w:r>
        <w:t>Ostatní odbory a samostatná oddělení (dále jen „odbory”</w:t>
      </w:r>
      <w:r w:rsidR="00CA2FEE">
        <w:t xml:space="preserve"> nebo „příslušné odbory“</w:t>
      </w:r>
      <w:r>
        <w:t>) v</w:t>
      </w:r>
      <w:r w:rsidR="00FF1E14">
        <w:t> </w:t>
      </w:r>
      <w:r>
        <w:t>rámci své věcné působnosti:</w:t>
      </w:r>
    </w:p>
    <w:p w:rsidR="007A3670" w:rsidRDefault="007A3670" w:rsidP="00CA2FEE">
      <w:pPr>
        <w:numPr>
          <w:ilvl w:val="1"/>
          <w:numId w:val="2"/>
        </w:numPr>
        <w:tabs>
          <w:tab w:val="clear" w:pos="1440"/>
        </w:tabs>
        <w:ind w:left="900"/>
        <w:jc w:val="both"/>
      </w:pPr>
      <w:r>
        <w:t>poskytují informace žadatelům přímo na základě ústních žádostí,</w:t>
      </w:r>
    </w:p>
    <w:p w:rsidR="007A3670" w:rsidRDefault="007A3670" w:rsidP="00CA2FEE">
      <w:pPr>
        <w:numPr>
          <w:ilvl w:val="1"/>
          <w:numId w:val="2"/>
        </w:numPr>
        <w:tabs>
          <w:tab w:val="clear" w:pos="1440"/>
        </w:tabs>
        <w:ind w:left="900"/>
        <w:jc w:val="both"/>
      </w:pPr>
      <w:r>
        <w:t>podle požadavku správce:</w:t>
      </w:r>
    </w:p>
    <w:p w:rsidR="007A3670" w:rsidRDefault="007A3670" w:rsidP="00CA2FEE">
      <w:pPr>
        <w:numPr>
          <w:ilvl w:val="2"/>
          <w:numId w:val="2"/>
        </w:numPr>
        <w:tabs>
          <w:tab w:val="clear" w:pos="2340"/>
        </w:tabs>
        <w:ind w:left="1260"/>
        <w:jc w:val="both"/>
      </w:pPr>
      <w:r>
        <w:t>zpracovávají vyjádření k možnosti poskytnout informaci na žádost,</w:t>
      </w:r>
    </w:p>
    <w:p w:rsidR="007A3670" w:rsidRDefault="007A3670" w:rsidP="00CA2FEE">
      <w:pPr>
        <w:numPr>
          <w:ilvl w:val="2"/>
          <w:numId w:val="2"/>
        </w:numPr>
        <w:tabs>
          <w:tab w:val="clear" w:pos="2340"/>
        </w:tabs>
        <w:ind w:left="1260"/>
        <w:jc w:val="both"/>
      </w:pPr>
      <w:r>
        <w:t>zpracovávají podklady pro poskytnutí informace na</w:t>
      </w:r>
      <w:r w:rsidR="00C43D66">
        <w:t xml:space="preserve"> žádost</w:t>
      </w:r>
      <w:r>
        <w:t>,</w:t>
      </w:r>
    </w:p>
    <w:p w:rsidR="007A3670" w:rsidRDefault="007A3670" w:rsidP="00CA2FEE">
      <w:pPr>
        <w:numPr>
          <w:ilvl w:val="1"/>
          <w:numId w:val="2"/>
        </w:numPr>
        <w:tabs>
          <w:tab w:val="clear" w:pos="1440"/>
        </w:tabs>
        <w:ind w:left="900"/>
        <w:jc w:val="both"/>
      </w:pPr>
      <w:r>
        <w:t>na požádání zpracovávají podklady pro přípravu:</w:t>
      </w:r>
    </w:p>
    <w:p w:rsidR="007A3670" w:rsidRDefault="007A3670" w:rsidP="00CA2FEE">
      <w:pPr>
        <w:numPr>
          <w:ilvl w:val="2"/>
          <w:numId w:val="2"/>
        </w:numPr>
        <w:tabs>
          <w:tab w:val="clear" w:pos="2340"/>
        </w:tabs>
        <w:ind w:left="1260"/>
        <w:jc w:val="both"/>
      </w:pPr>
      <w:r>
        <w:t>rozhodnutí o odmítnutí žádosti</w:t>
      </w:r>
      <w:r w:rsidR="00C43D66">
        <w:t xml:space="preserve"> nebo její části</w:t>
      </w:r>
      <w:r>
        <w:t>,</w:t>
      </w:r>
    </w:p>
    <w:p w:rsidR="007A3670" w:rsidRDefault="007A3670" w:rsidP="00CA2FEE">
      <w:pPr>
        <w:numPr>
          <w:ilvl w:val="2"/>
          <w:numId w:val="2"/>
        </w:numPr>
        <w:tabs>
          <w:tab w:val="clear" w:pos="2340"/>
        </w:tabs>
        <w:ind w:left="1260"/>
        <w:jc w:val="both"/>
      </w:pPr>
      <w:r>
        <w:t xml:space="preserve">stanoviska k odvolání proti rozhodnutí o odmítnutí </w:t>
      </w:r>
      <w:r w:rsidR="00C43D66">
        <w:t>ž</w:t>
      </w:r>
      <w:r>
        <w:t>ádosti</w:t>
      </w:r>
      <w:r w:rsidR="00C43D66">
        <w:t xml:space="preserve"> nebo její části</w:t>
      </w:r>
      <w:r>
        <w:t>,</w:t>
      </w:r>
    </w:p>
    <w:p w:rsidR="007A3670" w:rsidRDefault="007A3670" w:rsidP="00CA2FEE">
      <w:pPr>
        <w:numPr>
          <w:ilvl w:val="2"/>
          <w:numId w:val="2"/>
        </w:numPr>
        <w:tabs>
          <w:tab w:val="clear" w:pos="2340"/>
        </w:tabs>
        <w:ind w:left="1260"/>
        <w:jc w:val="both"/>
      </w:pPr>
      <w:r>
        <w:t>stanoviska ke stížnosti při vyřizování žádosti</w:t>
      </w:r>
      <w:r w:rsidR="00C43D66">
        <w:t xml:space="preserve"> nebo její části</w:t>
      </w:r>
      <w:r>
        <w:t>.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2"/>
        </w:numPr>
        <w:tabs>
          <w:tab w:val="clear" w:pos="1800"/>
        </w:tabs>
        <w:ind w:left="540" w:hanging="540"/>
        <w:jc w:val="both"/>
      </w:pPr>
      <w:r>
        <w:t xml:space="preserve">Rozhodnutí o odmítnutí žádosti, vyřízení odvolání proti rozhodnutí o odmítnutí žádosti </w:t>
      </w:r>
      <w:r w:rsidR="00C43D66">
        <w:t xml:space="preserve">nebo její části </w:t>
      </w:r>
      <w:r>
        <w:t xml:space="preserve">a vyřízení stížnosti na postup při vyřizování žádosti </w:t>
      </w:r>
      <w:r w:rsidR="00C43D66">
        <w:t xml:space="preserve">nebo její části </w:t>
      </w:r>
      <w:r>
        <w:t>zpracovává odbor legislativy a vnitřních věcí (dále jen „OLVV”).</w:t>
      </w:r>
    </w:p>
    <w:p w:rsidR="007A3670" w:rsidRDefault="007A3670">
      <w:pPr>
        <w:jc w:val="both"/>
      </w:pP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Článek 4</w:t>
      </w: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Ústní žádosti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3"/>
        </w:numPr>
        <w:tabs>
          <w:tab w:val="clear" w:pos="2547"/>
        </w:tabs>
        <w:ind w:left="540"/>
        <w:jc w:val="both"/>
      </w:pPr>
      <w:r>
        <w:t xml:space="preserve">Žádosti sdělené ústně při návštěvě pracoviště odboru nebo telefonicky jsou osloveným zaměstnancem vyřizovány podle možnosti </w:t>
      </w:r>
      <w:r w:rsidR="00C43D66">
        <w:t>bezodkladně</w:t>
      </w:r>
      <w:r>
        <w:t>:</w:t>
      </w:r>
    </w:p>
    <w:p w:rsidR="007A3670" w:rsidRDefault="007A3670" w:rsidP="00CA2FEE">
      <w:pPr>
        <w:numPr>
          <w:ilvl w:val="1"/>
          <w:numId w:val="3"/>
        </w:numPr>
        <w:tabs>
          <w:tab w:val="clear" w:pos="1440"/>
        </w:tabs>
        <w:ind w:left="900"/>
        <w:jc w:val="both"/>
      </w:pPr>
      <w:r>
        <w:t>podáním ústní informace,</w:t>
      </w:r>
    </w:p>
    <w:p w:rsidR="007A3670" w:rsidRDefault="007A3670" w:rsidP="00CA2FEE">
      <w:pPr>
        <w:numPr>
          <w:ilvl w:val="1"/>
          <w:numId w:val="3"/>
        </w:numPr>
        <w:tabs>
          <w:tab w:val="clear" w:pos="1440"/>
        </w:tabs>
        <w:ind w:left="900"/>
        <w:jc w:val="both"/>
      </w:pPr>
      <w:r>
        <w:t>odkazem na zveřejněnou informaci,</w:t>
      </w:r>
    </w:p>
    <w:p w:rsidR="007A3670" w:rsidRDefault="005A6AC3" w:rsidP="00CA2FEE">
      <w:pPr>
        <w:numPr>
          <w:ilvl w:val="1"/>
          <w:numId w:val="3"/>
        </w:numPr>
        <w:tabs>
          <w:tab w:val="clear" w:pos="1440"/>
        </w:tabs>
        <w:ind w:left="900"/>
        <w:jc w:val="both"/>
      </w:pPr>
      <w:r>
        <w:t>poskytnutím informace nahlédnutím do dokumentu</w:t>
      </w:r>
      <w:r w:rsidR="007A3670">
        <w:t>,</w:t>
      </w:r>
    </w:p>
    <w:p w:rsidR="007A3670" w:rsidRDefault="007A3670" w:rsidP="00CA2FEE">
      <w:pPr>
        <w:numPr>
          <w:ilvl w:val="1"/>
          <w:numId w:val="3"/>
        </w:numPr>
        <w:tabs>
          <w:tab w:val="clear" w:pos="1440"/>
        </w:tabs>
        <w:ind w:left="900"/>
        <w:jc w:val="both"/>
      </w:pPr>
      <w:r>
        <w:t xml:space="preserve">poskytnutím kontaktu na věcně příslušný odbor, příp. jinou instituci, </w:t>
      </w:r>
      <w:r w:rsidR="00C43D66">
        <w:t>do</w:t>
      </w:r>
      <w:r>
        <w:t xml:space="preserve"> jej</w:t>
      </w:r>
      <w:r w:rsidR="00C43D66">
        <w:t>i</w:t>
      </w:r>
      <w:r>
        <w:t xml:space="preserve">chž působnosti </w:t>
      </w:r>
      <w:r w:rsidR="00C43D66">
        <w:t xml:space="preserve">spadá </w:t>
      </w:r>
      <w:r>
        <w:t>daná problematika</w:t>
      </w:r>
      <w:r w:rsidR="00C43D66">
        <w:t>.</w:t>
      </w:r>
    </w:p>
    <w:p w:rsidR="00C43D66" w:rsidRDefault="00C43D66">
      <w:pPr>
        <w:ind w:left="540"/>
        <w:jc w:val="both"/>
      </w:pPr>
    </w:p>
    <w:p w:rsidR="007A3670" w:rsidRDefault="007A3670">
      <w:pPr>
        <w:ind w:left="540"/>
        <w:jc w:val="both"/>
      </w:pPr>
      <w:r>
        <w:t>O poskytnutí ústní informace nevede odbor evidenci ani není povinen hlásit její poskytnutí správci.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3"/>
        </w:numPr>
        <w:tabs>
          <w:tab w:val="clear" w:pos="2547"/>
        </w:tabs>
        <w:ind w:left="540"/>
        <w:jc w:val="both"/>
      </w:pPr>
      <w:r>
        <w:t xml:space="preserve">Pokud jsou pochybnosti, zda lze informaci poskytnout nebo je ústní poskytnutí informace příliš složité nebo nelze jednoznačně určit věcně příslušný odbor, příp. jinou instituci, </w:t>
      </w:r>
      <w:r w:rsidR="00C43D66">
        <w:t>který</w:t>
      </w:r>
      <w:r w:rsidR="00276B21">
        <w:t>(á)</w:t>
      </w:r>
      <w:r w:rsidR="00C43D66">
        <w:t xml:space="preserve"> danou informací disponuje, </w:t>
      </w:r>
      <w:r>
        <w:t xml:space="preserve">nebo žadatel požaduje písemnou odpověď, oslovený zaměstnanec nebo jeho vedoucí okamžitě informuje správce, který zajistí vyplnění </w:t>
      </w:r>
      <w:r w:rsidR="006667E0">
        <w:t>písemné</w:t>
      </w:r>
      <w:r>
        <w:t xml:space="preserve"> žádosti a její </w:t>
      </w:r>
      <w:r w:rsidR="00C43D66">
        <w:t xml:space="preserve">následné </w:t>
      </w:r>
      <w:r>
        <w:t>vyřízení.</w:t>
      </w:r>
    </w:p>
    <w:p w:rsidR="007A3670" w:rsidRDefault="007A3670" w:rsidP="00CA2FEE">
      <w:pPr>
        <w:numPr>
          <w:ilvl w:val="0"/>
          <w:numId w:val="3"/>
        </w:numPr>
        <w:tabs>
          <w:tab w:val="clear" w:pos="2547"/>
        </w:tabs>
        <w:ind w:left="540"/>
        <w:jc w:val="both"/>
      </w:pPr>
      <w:r>
        <w:lastRenderedPageBreak/>
        <w:t>Vedoucí odborů jsou oprávněni určit zaměstnance, kteří vyřizují ústně sdělené žádosti o informace.</w:t>
      </w:r>
    </w:p>
    <w:p w:rsidR="007A3670" w:rsidRDefault="007A3670">
      <w:pPr>
        <w:jc w:val="both"/>
      </w:pP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Článek 5</w:t>
      </w:r>
    </w:p>
    <w:p w:rsidR="00341017" w:rsidRDefault="00C43D66">
      <w:pPr>
        <w:jc w:val="center"/>
        <w:rPr>
          <w:b/>
          <w:bCs/>
        </w:rPr>
      </w:pPr>
      <w:r>
        <w:rPr>
          <w:b/>
          <w:bCs/>
        </w:rPr>
        <w:t>Písemné ž</w:t>
      </w:r>
      <w:r w:rsidR="007A3670">
        <w:rPr>
          <w:b/>
          <w:bCs/>
        </w:rPr>
        <w:t>ádosti</w:t>
      </w:r>
      <w:r>
        <w:rPr>
          <w:b/>
          <w:bCs/>
        </w:rPr>
        <w:t xml:space="preserve"> a žádosti podané prostřednictvím sítě </w:t>
      </w:r>
    </w:p>
    <w:p w:rsidR="007A3670" w:rsidRDefault="00C43D66">
      <w:pPr>
        <w:jc w:val="center"/>
        <w:rPr>
          <w:b/>
          <w:bCs/>
        </w:rPr>
      </w:pPr>
      <w:r>
        <w:rPr>
          <w:b/>
          <w:bCs/>
        </w:rPr>
        <w:t>nebo služby elektronických komunikací</w:t>
      </w:r>
    </w:p>
    <w:p w:rsidR="007A3670" w:rsidRDefault="007A3670">
      <w:pPr>
        <w:jc w:val="both"/>
      </w:pPr>
    </w:p>
    <w:p w:rsidR="007A3670" w:rsidRDefault="00C43D66" w:rsidP="00CA2FEE">
      <w:pPr>
        <w:numPr>
          <w:ilvl w:val="0"/>
          <w:numId w:val="4"/>
        </w:numPr>
        <w:tabs>
          <w:tab w:val="clear" w:pos="1800"/>
        </w:tabs>
        <w:ind w:left="540" w:hanging="540"/>
        <w:jc w:val="both"/>
      </w:pPr>
      <w:r>
        <w:t>Ž</w:t>
      </w:r>
      <w:r w:rsidR="007A3670">
        <w:t xml:space="preserve">ádosti jsou přijímány a zpracovávány podle Spisového a skartačního řádu </w:t>
      </w:r>
      <w:r w:rsidR="00ED5CEE">
        <w:t xml:space="preserve">krajského úřadu </w:t>
      </w:r>
      <w:r w:rsidR="007A3670">
        <w:t>R/4/REDI jako písemnosti určené odboru kancelář hejtman</w:t>
      </w:r>
      <w:r w:rsidR="00BA7C4B">
        <w:t>ky</w:t>
      </w:r>
      <w:r w:rsidR="007A3670">
        <w:t xml:space="preserve">, </w:t>
      </w:r>
      <w:r w:rsidR="005A6AC3">
        <w:t>který</w:t>
      </w:r>
      <w:r w:rsidR="007A3670">
        <w:t xml:space="preserve"> je správcem procesu poskytnutí informace</w:t>
      </w:r>
      <w:r>
        <w:t xml:space="preserve">. 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4"/>
        </w:numPr>
        <w:tabs>
          <w:tab w:val="clear" w:pos="1800"/>
        </w:tabs>
        <w:ind w:left="540" w:hanging="540"/>
        <w:jc w:val="both"/>
      </w:pPr>
      <w:r>
        <w:t>Správce po posouzení žádosti:</w:t>
      </w:r>
    </w:p>
    <w:p w:rsidR="007A3670" w:rsidRDefault="007A3670" w:rsidP="00E81DD4">
      <w:pPr>
        <w:numPr>
          <w:ilvl w:val="1"/>
          <w:numId w:val="4"/>
        </w:numPr>
        <w:tabs>
          <w:tab w:val="clear" w:pos="1440"/>
        </w:tabs>
        <w:ind w:left="900"/>
        <w:jc w:val="both"/>
      </w:pPr>
      <w:r>
        <w:t>vyzve žadatele ve lhůtě do 7 dnů ode dne podání žádosti, aby ji doplnil, brání-li nedostatek údajů o žadateli jejímu vyřízení, pokud žadatel této výzvě do 30 dnů ode dne doručení nevyhoví, sdělí odbor kancelář hejtman</w:t>
      </w:r>
      <w:r w:rsidR="00BA7C4B">
        <w:t>ky</w:t>
      </w:r>
      <w:r>
        <w:t xml:space="preserve"> žadateli, že žádost se odkládá,</w:t>
      </w:r>
      <w:r w:rsidR="00E81DD4">
        <w:t xml:space="preserve"> </w:t>
      </w:r>
      <w:r>
        <w:t xml:space="preserve">vyzve žadatele ve lhůtě do 7 dnů ode dne podání žádosti, aby ji upřesnil, je-li žádost nesrozumitelná, není z ní zřejmé, jaká informace je požadována nebo je formulována příliš obecně; pokud žadatel této výzvě do 30 dnů ode dne doručení nevyhoví, rozhodne </w:t>
      </w:r>
      <w:r w:rsidR="005A6AC3">
        <w:t>OLVV</w:t>
      </w:r>
      <w:r>
        <w:t xml:space="preserve"> o odmítnutí žádosti,</w:t>
      </w:r>
    </w:p>
    <w:p w:rsidR="007A3670" w:rsidRDefault="007A3670" w:rsidP="00CA2FEE">
      <w:pPr>
        <w:numPr>
          <w:ilvl w:val="1"/>
          <w:numId w:val="4"/>
        </w:numPr>
        <w:tabs>
          <w:tab w:val="clear" w:pos="1440"/>
        </w:tabs>
        <w:ind w:left="900"/>
        <w:jc w:val="both"/>
      </w:pPr>
      <w:r>
        <w:t>sdělí žadateli do 7 dnů ode dne doručení žádosti, že se tato žádost odkládá vč</w:t>
      </w:r>
      <w:r w:rsidR="006667E0">
        <w:t>etně</w:t>
      </w:r>
      <w:r>
        <w:t xml:space="preserve"> zdůvodnění v případě, že se požadované informace nevztahují k působnosti kraje</w:t>
      </w:r>
      <w:r w:rsidR="00DB1E3A">
        <w:t>,</w:t>
      </w:r>
    </w:p>
    <w:p w:rsidR="007A3670" w:rsidRDefault="007A3670" w:rsidP="00CA2FEE">
      <w:pPr>
        <w:numPr>
          <w:ilvl w:val="1"/>
          <w:numId w:val="4"/>
        </w:numPr>
        <w:tabs>
          <w:tab w:val="clear" w:pos="1440"/>
        </w:tabs>
        <w:ind w:left="900"/>
        <w:jc w:val="both"/>
      </w:pPr>
      <w:r>
        <w:t>sdělí žadateli údaje umožňující vyhledání a získání zveřejněné informace, pokud žádost směřuje k poskytnutí již zveřejněné informace, a to nejpozději do 7 dnů ode dne podání žádosti,</w:t>
      </w:r>
      <w:r w:rsidR="00DB1E3A">
        <w:t xml:space="preserve"> pokud však žadatel trvá na přímém vyřízení žádosti o informace, správce mu ji poskytne,</w:t>
      </w:r>
    </w:p>
    <w:p w:rsidR="007A3670" w:rsidRDefault="007A3670" w:rsidP="00CA2FEE">
      <w:pPr>
        <w:numPr>
          <w:ilvl w:val="1"/>
          <w:numId w:val="4"/>
        </w:numPr>
        <w:tabs>
          <w:tab w:val="clear" w:pos="1440"/>
        </w:tabs>
        <w:ind w:left="900"/>
        <w:jc w:val="both"/>
      </w:pPr>
      <w:r>
        <w:t>při vyřizování žádosti postupuje dále podle níže uvedených ustanovení.</w:t>
      </w:r>
    </w:p>
    <w:p w:rsidR="00581836" w:rsidRDefault="00581836" w:rsidP="00125074">
      <w:pPr>
        <w:jc w:val="both"/>
      </w:pPr>
    </w:p>
    <w:p w:rsidR="00581836" w:rsidRDefault="00581836" w:rsidP="00CA2FEE">
      <w:pPr>
        <w:numPr>
          <w:ilvl w:val="0"/>
          <w:numId w:val="4"/>
        </w:numPr>
        <w:tabs>
          <w:tab w:val="clear" w:pos="1800"/>
        </w:tabs>
        <w:ind w:left="540" w:hanging="540"/>
        <w:jc w:val="both"/>
      </w:pPr>
      <w:r>
        <w:t>Při obdržení žádosti o poskytnutí informace o platu či odměny zaměstnance kraje, anebo osoby v obdobném poměru ke kraji, postupuje správce tak, že v případě žádosti, která není podána prostřednictvím datové schránky, anebo e-mailu s uznávaným elektronickým podpisem, ověří existenci žadatele v registru obyvatel. V případě zjištění pochybností o</w:t>
      </w:r>
      <w:r w:rsidR="00E81DD4">
        <w:t> </w:t>
      </w:r>
      <w:r>
        <w:t>správnosti údajů uvedených žadatelem, jej správce vyzve k doplnění žádosti (prokázání totožnosti), a to zejména podáním žádosti v listinné podobě s ověřeným podpisem, prostřednictvím datové schránky fyzické osoby, anebo e-mailem s uznávaným elektronickým podpisem, případně jiným způsobem, na jehož základě správce ověří správnost údajů o žadateli. Postup pro dodatečné ověření identity žadatele správce užije i</w:t>
      </w:r>
      <w:r w:rsidR="00E81DD4">
        <w:t> </w:t>
      </w:r>
      <w:r>
        <w:t>v</w:t>
      </w:r>
      <w:r w:rsidR="00244785">
        <w:t> </w:t>
      </w:r>
      <w:r>
        <w:t>případě</w:t>
      </w:r>
      <w:r w:rsidR="00244785">
        <w:t xml:space="preserve"> žádostí podaných datovou schránkou či </w:t>
      </w:r>
      <w:r>
        <w:t>e-mailem s uznávaným elektronickým podpisem, pakliže má správce pochybnosti o správnosti údajů uváděných žadatelem. Následně správce postupuje dle předchozího odstavce.</w:t>
      </w:r>
    </w:p>
    <w:p w:rsidR="00581836" w:rsidRDefault="00581836" w:rsidP="00125074">
      <w:pPr>
        <w:ind w:left="540"/>
        <w:jc w:val="both"/>
      </w:pPr>
    </w:p>
    <w:p w:rsidR="007A3670" w:rsidRDefault="007A3670" w:rsidP="00CA2FEE">
      <w:pPr>
        <w:numPr>
          <w:ilvl w:val="0"/>
          <w:numId w:val="4"/>
        </w:numPr>
        <w:tabs>
          <w:tab w:val="clear" w:pos="1800"/>
        </w:tabs>
        <w:ind w:left="540" w:hanging="540"/>
        <w:jc w:val="both"/>
      </w:pPr>
      <w:r>
        <w:t xml:space="preserve">Pokud není uplatněn postup podle </w:t>
      </w:r>
      <w:r w:rsidR="00581836">
        <w:t>odstavců (2) a (3)</w:t>
      </w:r>
      <w:r>
        <w:t>, správce žádost přidělí</w:t>
      </w:r>
      <w:r w:rsidR="006667E0">
        <w:t xml:space="preserve"> n</w:t>
      </w:r>
      <w:r>
        <w:t xml:space="preserve">ejpozději do </w:t>
      </w:r>
      <w:r w:rsidR="00DB1E3A">
        <w:t>2</w:t>
      </w:r>
      <w:r>
        <w:t xml:space="preserve"> dnů ode dne jejího doručení k vyřízení příslušnému odboru.</w:t>
      </w:r>
    </w:p>
    <w:p w:rsidR="00276B21" w:rsidRDefault="00276B21" w:rsidP="00CA2FEE">
      <w:pPr>
        <w:ind w:left="540"/>
        <w:jc w:val="both"/>
      </w:pPr>
    </w:p>
    <w:p w:rsidR="00FF1E14" w:rsidRDefault="00276B21" w:rsidP="00CA2FEE">
      <w:pPr>
        <w:numPr>
          <w:ilvl w:val="0"/>
          <w:numId w:val="4"/>
        </w:numPr>
        <w:tabs>
          <w:tab w:val="clear" w:pos="1800"/>
        </w:tabs>
        <w:ind w:left="540" w:hanging="540"/>
        <w:jc w:val="both"/>
      </w:pPr>
      <w:r>
        <w:t xml:space="preserve">Správce </w:t>
      </w:r>
      <w:r w:rsidR="00CA2FEE">
        <w:t xml:space="preserve">při poskytování informací </w:t>
      </w:r>
      <w:r>
        <w:t xml:space="preserve">a OLVV v případě rozhodování o odmítnutí žádosti nebo její části s žadatelem komunikuje způsobem, kterým podal žádost (písemně nebo elektronicky). V případě, že to není možné, komunikuje s ním obdobně podle právní úpravy upravující doručování ve správním řízení tam, kde neplatí zvláštní úprava zákona. </w:t>
      </w:r>
    </w:p>
    <w:p w:rsidR="00276B21" w:rsidRDefault="00FF1E14" w:rsidP="00FF1E14">
      <w:r>
        <w:br w:type="page"/>
      </w:r>
    </w:p>
    <w:p w:rsidR="007A3670" w:rsidRDefault="00DB1E3A" w:rsidP="00CA2FEE">
      <w:pPr>
        <w:numPr>
          <w:ilvl w:val="0"/>
          <w:numId w:val="4"/>
        </w:numPr>
        <w:tabs>
          <w:tab w:val="clear" w:pos="1800"/>
        </w:tabs>
        <w:ind w:left="540" w:hanging="540"/>
        <w:jc w:val="both"/>
      </w:pPr>
      <w:r>
        <w:lastRenderedPageBreak/>
        <w:t>O</w:t>
      </w:r>
      <w:r w:rsidR="007A3670">
        <w:t>dbor:</w:t>
      </w:r>
    </w:p>
    <w:p w:rsidR="007A3670" w:rsidRDefault="007A3670" w:rsidP="00CA2FEE">
      <w:pPr>
        <w:numPr>
          <w:ilvl w:val="1"/>
          <w:numId w:val="4"/>
        </w:numPr>
        <w:tabs>
          <w:tab w:val="clear" w:pos="1440"/>
        </w:tabs>
        <w:ind w:left="900"/>
        <w:jc w:val="both"/>
      </w:pPr>
      <w:r>
        <w:t>zjistí, zda je věcně příslušným, jinak žádost neprodleně vrátí správci, nejpozději pak následující pracovní den po dni přidělení, k novému přidělení, které správce provede nejpozději následující pracovní den po vrácení;</w:t>
      </w:r>
      <w:r w:rsidR="00DB1E3A">
        <w:t xml:space="preserve"> </w:t>
      </w:r>
      <w:r>
        <w:t>v případě nejasnosti věcné působnosti odboru správce neprodleně informuje ředitele kr</w:t>
      </w:r>
      <w:r w:rsidR="00300452">
        <w:t>ajského úřadu, který rozhodne o </w:t>
      </w:r>
      <w:r>
        <w:t>věcně příslušném odboru,</w:t>
      </w:r>
    </w:p>
    <w:p w:rsidR="007A3670" w:rsidRDefault="007A3670" w:rsidP="00CA2FEE">
      <w:pPr>
        <w:numPr>
          <w:ilvl w:val="1"/>
          <w:numId w:val="4"/>
        </w:numPr>
        <w:tabs>
          <w:tab w:val="clear" w:pos="1440"/>
        </w:tabs>
        <w:ind w:left="900"/>
        <w:jc w:val="both"/>
      </w:pPr>
      <w:r>
        <w:t>prozkoumá, zda není dán důvod, pro který je nutno prodloužit lhůtu pro poskytnutí informace</w:t>
      </w:r>
      <w:r w:rsidR="00DB1E3A">
        <w:t>;</w:t>
      </w:r>
      <w:r>
        <w:t xml:space="preserve"> pokud takový důvod nastane, odbor neprodleně informuje, nejpozději do 2 pracovních dnů ode dne přidělení, správce, který písemně informuje žadatele o prodloužení a důvodech prodloužení lhůty k poskytnutí informace tak, aby žadatel obdržel tuto informaci ve lhůtě pro poskytnutí informace,</w:t>
      </w:r>
    </w:p>
    <w:p w:rsidR="007A3670" w:rsidRDefault="007A3670" w:rsidP="00CA2FEE">
      <w:pPr>
        <w:numPr>
          <w:ilvl w:val="1"/>
          <w:numId w:val="4"/>
        </w:numPr>
        <w:tabs>
          <w:tab w:val="clear" w:pos="1440"/>
        </w:tabs>
        <w:ind w:left="900"/>
        <w:jc w:val="both"/>
      </w:pPr>
      <w:r>
        <w:t>prozkoumá, zda není dán některý z důvodů, pro který je nutno poskytnutí informace odmítnout;</w:t>
      </w:r>
      <w:r w:rsidR="00DB1E3A">
        <w:t xml:space="preserve"> </w:t>
      </w:r>
      <w:r>
        <w:t>pokud takový důvod není, připraví návrh odpovědi (poskytnutí informace) a nejpozději do 5 pracovních dnů jej předá správci, který svým dopisem zajistí předání informace žadateli tak, aby ji obdržel ve lhůtě pro její poskytnutí;</w:t>
      </w:r>
    </w:p>
    <w:p w:rsidR="007A3670" w:rsidRDefault="007A3670">
      <w:pPr>
        <w:ind w:left="900"/>
        <w:jc w:val="both"/>
      </w:pPr>
      <w:r>
        <w:t>pokud zjistí, že je dán některý z důvodů, pro který je nutno poskytnutí informace odmítnout, zpracuje stanovisko s odůvodněním, proč nelze informaci poskytnout a nejpozději do 5 pracovních dnů jej předá vč. kopií listin a dokumentů které jsou ve stanovisku uváděny nebo ze kterých stanovisko vychází, OLVV a na vědomí správci.</w:t>
      </w:r>
    </w:p>
    <w:p w:rsidR="007A3670" w:rsidRDefault="007A3670">
      <w:pPr>
        <w:jc w:val="both"/>
      </w:pP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Článek 6</w:t>
      </w: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Rozhodnutí o odmítnutí žádosti</w:t>
      </w:r>
      <w:r w:rsidR="00276B21">
        <w:rPr>
          <w:b/>
          <w:bCs/>
        </w:rPr>
        <w:t xml:space="preserve"> nebo její části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5"/>
        </w:numPr>
        <w:tabs>
          <w:tab w:val="clear" w:pos="1800"/>
        </w:tabs>
        <w:ind w:left="540" w:hanging="540"/>
        <w:jc w:val="both"/>
      </w:pPr>
      <w:r>
        <w:t>Rozhodnutí o odmítnutí žádosti</w:t>
      </w:r>
      <w:r w:rsidR="00DB1E3A">
        <w:t xml:space="preserve"> nebo její části </w:t>
      </w:r>
      <w:r>
        <w:t xml:space="preserve">(dále </w:t>
      </w:r>
      <w:r w:rsidR="00FF1E14">
        <w:t>jen „rozhodnutí”), zpracovává a </w:t>
      </w:r>
      <w:r>
        <w:t xml:space="preserve">vydává OLVV na základě stanoviska zpracovaného </w:t>
      </w:r>
      <w:r w:rsidR="00276B21">
        <w:t xml:space="preserve">příslušným </w:t>
      </w:r>
      <w:r>
        <w:t>odborem</w:t>
      </w:r>
      <w:r w:rsidR="00276B21">
        <w:t xml:space="preserve">. 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5"/>
        </w:numPr>
        <w:tabs>
          <w:tab w:val="clear" w:pos="1800"/>
        </w:tabs>
        <w:ind w:left="540" w:hanging="540"/>
        <w:jc w:val="both"/>
      </w:pPr>
      <w:r>
        <w:t xml:space="preserve">OLVV vydá rozhodnutí tak, aby </w:t>
      </w:r>
      <w:r w:rsidR="00824FD6">
        <w:t xml:space="preserve">bylo </w:t>
      </w:r>
      <w:r w:rsidR="00F27EF8">
        <w:t>vypraveno</w:t>
      </w:r>
      <w:r>
        <w:t xml:space="preserve"> ve lhůtě pro poskytnutí informace.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5"/>
        </w:numPr>
        <w:tabs>
          <w:tab w:val="clear" w:pos="1800"/>
        </w:tabs>
        <w:ind w:left="540" w:hanging="540"/>
        <w:jc w:val="both"/>
      </w:pPr>
      <w:r>
        <w:t>Stejnopis rozhodnutí, listiny, které byly podkladem pro vypracování rozhodnutí a doklad o doručení rozhodnutí žadateli OLVV předá neprodleně správci k uložení do spisu.</w:t>
      </w:r>
    </w:p>
    <w:p w:rsidR="007A3670" w:rsidRDefault="007A3670">
      <w:pPr>
        <w:jc w:val="both"/>
      </w:pP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Článek 7</w:t>
      </w: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Odvolání proti rozhodnutí o odmítnutí žádosti</w:t>
      </w:r>
      <w:r w:rsidR="00276B21">
        <w:rPr>
          <w:b/>
          <w:bCs/>
        </w:rPr>
        <w:t xml:space="preserve"> nebo její části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6"/>
        </w:numPr>
        <w:tabs>
          <w:tab w:val="clear" w:pos="1800"/>
        </w:tabs>
        <w:ind w:left="540" w:hanging="540"/>
        <w:jc w:val="both"/>
      </w:pPr>
      <w:r>
        <w:t>O odvolání proti rozhodnutí vydaného ve věci</w:t>
      </w:r>
    </w:p>
    <w:p w:rsidR="007A3670" w:rsidRDefault="007A3670" w:rsidP="00CA2FEE">
      <w:pPr>
        <w:numPr>
          <w:ilvl w:val="1"/>
          <w:numId w:val="6"/>
        </w:numPr>
        <w:tabs>
          <w:tab w:val="clear" w:pos="1440"/>
        </w:tabs>
        <w:ind w:left="900"/>
        <w:jc w:val="both"/>
      </w:pPr>
      <w:r>
        <w:t>v samostatné působnosti kraje rozhoduje Ministerstvo vnitra,</w:t>
      </w:r>
    </w:p>
    <w:p w:rsidR="007A3670" w:rsidRDefault="007A3670" w:rsidP="00CA2FEE">
      <w:pPr>
        <w:numPr>
          <w:ilvl w:val="1"/>
          <w:numId w:val="6"/>
        </w:numPr>
        <w:tabs>
          <w:tab w:val="clear" w:pos="1440"/>
        </w:tabs>
        <w:ind w:left="900"/>
        <w:jc w:val="both"/>
      </w:pPr>
      <w:r>
        <w:t>v přenesené působnosti kraje rozhoduje věcně příslušný ústřední správní úřad</w:t>
      </w:r>
    </w:p>
    <w:p w:rsidR="007A3670" w:rsidRDefault="007A3670">
      <w:pPr>
        <w:ind w:left="900"/>
        <w:jc w:val="both"/>
      </w:pPr>
      <w:r>
        <w:t>(dále jen „</w:t>
      </w:r>
      <w:r w:rsidR="00CA2FEE">
        <w:t>odvolací</w:t>
      </w:r>
      <w:r>
        <w:t xml:space="preserve"> </w:t>
      </w:r>
      <w:r w:rsidR="00CA2FEE">
        <w:t xml:space="preserve">nebo nadřízený </w:t>
      </w:r>
      <w:r>
        <w:t>orgán”).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6"/>
        </w:numPr>
        <w:tabs>
          <w:tab w:val="clear" w:pos="1800"/>
        </w:tabs>
        <w:ind w:left="540" w:hanging="540"/>
        <w:jc w:val="both"/>
      </w:pPr>
      <w:r>
        <w:t xml:space="preserve">Stanovisko k odvolání zpracovává OLVV. Pro zpracování stanoviska je OLVV oprávněn vyžádat si od správce celý spis a požádat </w:t>
      </w:r>
      <w:r w:rsidR="00276B21">
        <w:t xml:space="preserve">příslušný </w:t>
      </w:r>
      <w:r w:rsidR="00FF1E14">
        <w:t xml:space="preserve">odbor o </w:t>
      </w:r>
      <w:r>
        <w:t>vyjádření k odvolání a doplnění listin a dokladů a stanovit pro tyto úkony lhůtu.</w:t>
      </w:r>
    </w:p>
    <w:p w:rsidR="007A3670" w:rsidRDefault="007A3670">
      <w:pPr>
        <w:jc w:val="both"/>
      </w:pPr>
    </w:p>
    <w:p w:rsidR="009E0EFE" w:rsidRDefault="007A3670" w:rsidP="00CA2FEE">
      <w:pPr>
        <w:numPr>
          <w:ilvl w:val="0"/>
          <w:numId w:val="6"/>
        </w:numPr>
        <w:tabs>
          <w:tab w:val="clear" w:pos="1800"/>
        </w:tabs>
        <w:ind w:left="540" w:hanging="540"/>
        <w:jc w:val="both"/>
      </w:pPr>
      <w:r>
        <w:t>Pokud není odvolateli vyhověno, OLVV předkládá odvolání spolu s celým spisem odvolacímu orgánu ve lhůtě do 15 dnů ode dne jeho doručení.</w:t>
      </w:r>
    </w:p>
    <w:p w:rsidR="007A3670" w:rsidRDefault="009E0EFE" w:rsidP="001D62F5">
      <w:r>
        <w:br w:type="page"/>
      </w: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lastRenderedPageBreak/>
        <w:t>Článek 8</w:t>
      </w: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Stížnost na postup při vyřizování žádosti</w:t>
      </w:r>
      <w:r w:rsidR="00276B21">
        <w:rPr>
          <w:b/>
          <w:bCs/>
        </w:rPr>
        <w:t xml:space="preserve"> nebo její části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7"/>
        </w:numPr>
        <w:tabs>
          <w:tab w:val="clear" w:pos="2547"/>
        </w:tabs>
        <w:ind w:left="540"/>
        <w:jc w:val="both"/>
      </w:pPr>
      <w:r>
        <w:t xml:space="preserve">Stížnost na postup při vyřizování žádosti </w:t>
      </w:r>
      <w:r w:rsidR="00276B21">
        <w:t xml:space="preserve">nebo její části </w:t>
      </w:r>
      <w:r>
        <w:t>(dále jen „stížnost”) přijímá správce.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7"/>
        </w:numPr>
        <w:tabs>
          <w:tab w:val="clear" w:pos="2547"/>
        </w:tabs>
        <w:ind w:left="540"/>
        <w:jc w:val="both"/>
      </w:pPr>
      <w:r>
        <w:t>Stížnosti podané písemně a stížnosti podané ústně, které nebylo možné vyřídit ihned</w:t>
      </w:r>
      <w:r w:rsidR="00DB1E3A">
        <w:t>,</w:t>
      </w:r>
      <w:r w:rsidR="00300452">
        <w:t xml:space="preserve"> a </w:t>
      </w:r>
      <w:r>
        <w:t>byl o nich sepsán záznam, předává správce OLVV, který dále postupuje obdobně jako při vyřizování odvolání proti rozhodnutí o odmítnutí žádosti</w:t>
      </w:r>
      <w:r w:rsidR="00276B21">
        <w:t xml:space="preserve"> nebo její části</w:t>
      </w:r>
      <w:r>
        <w:t xml:space="preserve">, vyjma lhůty pro předložení stížnosti nadřízenému orgánu, která </w:t>
      </w:r>
      <w:r w:rsidR="00276B21">
        <w:t xml:space="preserve">činí </w:t>
      </w:r>
      <w:r>
        <w:t>v to</w:t>
      </w:r>
      <w:r w:rsidR="00276B21">
        <w:t>m</w:t>
      </w:r>
      <w:r>
        <w:t>to případě 7 dnů ode dne, kdy stížnost došla.</w:t>
      </w:r>
    </w:p>
    <w:p w:rsidR="007A3670" w:rsidRDefault="007A3670">
      <w:pPr>
        <w:jc w:val="both"/>
      </w:pPr>
    </w:p>
    <w:p w:rsidR="007A3670" w:rsidRDefault="007A36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Část III</w:t>
      </w:r>
    </w:p>
    <w:p w:rsidR="007A3670" w:rsidRDefault="007A3670">
      <w:pPr>
        <w:jc w:val="center"/>
      </w:pPr>
      <w:r>
        <w:rPr>
          <w:b/>
          <w:bCs/>
          <w:sz w:val="28"/>
        </w:rPr>
        <w:t>Hrazení nákladů</w:t>
      </w:r>
    </w:p>
    <w:p w:rsidR="007A3670" w:rsidRDefault="007A3670">
      <w:pPr>
        <w:jc w:val="both"/>
      </w:pP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Článek 9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8"/>
        </w:numPr>
        <w:tabs>
          <w:tab w:val="clear" w:pos="2547"/>
        </w:tabs>
        <w:ind w:left="540"/>
        <w:jc w:val="both"/>
      </w:pPr>
      <w:r>
        <w:t>Úhrada za poskytnutí informací může být požadována pouze v případech, kdy poskytnutí informace představuje:</w:t>
      </w:r>
    </w:p>
    <w:p w:rsidR="007A3670" w:rsidRDefault="00162CE2" w:rsidP="00CA2FEE">
      <w:pPr>
        <w:numPr>
          <w:ilvl w:val="0"/>
          <w:numId w:val="9"/>
        </w:numPr>
        <w:tabs>
          <w:tab w:val="clear" w:pos="1980"/>
        </w:tabs>
        <w:ind w:left="900"/>
        <w:jc w:val="both"/>
      </w:pPr>
      <w:r>
        <w:t xml:space="preserve">pořízení kopií </w:t>
      </w:r>
      <w:r w:rsidR="00CA2FEE">
        <w:t xml:space="preserve">nebo scanu listin </w:t>
      </w:r>
      <w:r>
        <w:t xml:space="preserve">za částku přesahující </w:t>
      </w:r>
      <w:r w:rsidR="00CA2FEE">
        <w:t>10</w:t>
      </w:r>
      <w:r>
        <w:t>0 Kč</w:t>
      </w:r>
      <w:r w:rsidR="007A3670">
        <w:t>,</w:t>
      </w:r>
    </w:p>
    <w:p w:rsidR="007A3670" w:rsidRDefault="007A3670" w:rsidP="00CA2FEE">
      <w:pPr>
        <w:numPr>
          <w:ilvl w:val="0"/>
          <w:numId w:val="9"/>
        </w:numPr>
        <w:tabs>
          <w:tab w:val="clear" w:pos="1980"/>
        </w:tabs>
        <w:ind w:left="900"/>
        <w:jc w:val="both"/>
      </w:pPr>
      <w:r>
        <w:t>pořízení 3 a více technických nosičů dat,</w:t>
      </w:r>
    </w:p>
    <w:p w:rsidR="007A3670" w:rsidRDefault="007A3670" w:rsidP="00CA2FEE">
      <w:pPr>
        <w:numPr>
          <w:ilvl w:val="0"/>
          <w:numId w:val="9"/>
        </w:numPr>
        <w:tabs>
          <w:tab w:val="clear" w:pos="1980"/>
        </w:tabs>
        <w:ind w:left="900"/>
        <w:jc w:val="both"/>
      </w:pPr>
      <w:r>
        <w:t xml:space="preserve">náklady na odeslání informace žadateli obyčejným nebo doporučeným podáním </w:t>
      </w:r>
      <w:r w:rsidR="00894CF6">
        <w:t>pře</w:t>
      </w:r>
      <w:r w:rsidR="00CA2FEE">
        <w:t>vyšující částku 10</w:t>
      </w:r>
      <w:r w:rsidR="00894CF6">
        <w:t>0 Kč</w:t>
      </w:r>
      <w:r>
        <w:t xml:space="preserve"> (poštovní služby),</w:t>
      </w:r>
    </w:p>
    <w:p w:rsidR="007A3670" w:rsidRDefault="007A3670" w:rsidP="00CA2FEE">
      <w:pPr>
        <w:numPr>
          <w:ilvl w:val="0"/>
          <w:numId w:val="9"/>
        </w:numPr>
        <w:tabs>
          <w:tab w:val="clear" w:pos="1980"/>
        </w:tabs>
        <w:ind w:left="900"/>
        <w:jc w:val="both"/>
      </w:pPr>
      <w:r>
        <w:t xml:space="preserve">vyhledávání podkladů delší než </w:t>
      </w:r>
      <w:r w:rsidR="00894CF6">
        <w:t xml:space="preserve">1 </w:t>
      </w:r>
      <w:r>
        <w:t>hodin</w:t>
      </w:r>
      <w:r w:rsidR="00F27EF8">
        <w:t>u</w:t>
      </w:r>
      <w:r>
        <w:t xml:space="preserve"> pracovního času zaměstnance odboru nebo správce.</w:t>
      </w:r>
    </w:p>
    <w:p w:rsidR="007A3670" w:rsidRDefault="007A3670">
      <w:pPr>
        <w:ind w:left="540"/>
        <w:jc w:val="both"/>
      </w:pPr>
    </w:p>
    <w:p w:rsidR="007A3670" w:rsidRDefault="007A3670" w:rsidP="00CA2FEE">
      <w:pPr>
        <w:numPr>
          <w:ilvl w:val="0"/>
          <w:numId w:val="8"/>
        </w:numPr>
        <w:tabs>
          <w:tab w:val="clear" w:pos="2547"/>
        </w:tabs>
        <w:ind w:left="540"/>
        <w:jc w:val="both"/>
      </w:pPr>
      <w:r>
        <w:t xml:space="preserve">Sazebník úhrad nákladů </w:t>
      </w:r>
      <w:r w:rsidR="00824FD6">
        <w:t xml:space="preserve"> vydává </w:t>
      </w:r>
      <w:r w:rsidR="00276B21">
        <w:t>r</w:t>
      </w:r>
      <w:r w:rsidR="00824FD6">
        <w:t>ada kraje v souladu</w:t>
      </w:r>
      <w:r>
        <w:t xml:space="preserve"> s nařízením vlády č. 173/2006 Sb., o zásadách stanovení úhrad a licenčních odměn za posky</w:t>
      </w:r>
      <w:r w:rsidR="00556E2E">
        <w:t>tování informací podle zákona o </w:t>
      </w:r>
      <w:r>
        <w:t>svobodném přístupu k informacím.</w:t>
      </w:r>
      <w:r w:rsidR="00824FD6">
        <w:t xml:space="preserve"> Sazebník úhrad nákladů je přílohou této smě</w:t>
      </w:r>
      <w:r w:rsidR="00300452">
        <w:t>rnice, a </w:t>
      </w:r>
      <w:r w:rsidR="00F27EF8">
        <w:t>je vydáván na každý kalendářní rok.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8"/>
        </w:numPr>
        <w:tabs>
          <w:tab w:val="clear" w:pos="2547"/>
        </w:tabs>
        <w:ind w:left="540"/>
        <w:jc w:val="both"/>
      </w:pPr>
      <w:r>
        <w:t>Úkony vůči žadateli spojené s požadavkem úhrady za poskytnutí informace zajišťuje správce.</w:t>
      </w:r>
    </w:p>
    <w:p w:rsidR="007A3670" w:rsidRDefault="007A3670">
      <w:pPr>
        <w:jc w:val="both"/>
      </w:pPr>
    </w:p>
    <w:p w:rsidR="007A3670" w:rsidRDefault="007A36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Část IV</w:t>
      </w:r>
    </w:p>
    <w:p w:rsidR="007A3670" w:rsidRDefault="007A36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Výroční zpráva</w:t>
      </w:r>
    </w:p>
    <w:p w:rsidR="007A3670" w:rsidRDefault="007A3670">
      <w:pPr>
        <w:jc w:val="both"/>
      </w:pP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Článek 10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10"/>
        </w:numPr>
        <w:tabs>
          <w:tab w:val="clear" w:pos="1800"/>
        </w:tabs>
        <w:ind w:left="540" w:hanging="540"/>
        <w:jc w:val="both"/>
      </w:pPr>
      <w:r>
        <w:t>Zpracování, schválení a zveřejnění výroční zprávy zajišťuje správce</w:t>
      </w:r>
      <w:r w:rsidR="00300452">
        <w:t>, a to nejpozději do 1. </w:t>
      </w:r>
      <w:r w:rsidR="00714517">
        <w:t>března následujícího roku.</w:t>
      </w:r>
    </w:p>
    <w:p w:rsidR="007A3670" w:rsidRDefault="007A3670">
      <w:pPr>
        <w:jc w:val="both"/>
      </w:pPr>
    </w:p>
    <w:p w:rsidR="005B1045" w:rsidRDefault="007A3670" w:rsidP="00CA2FEE">
      <w:pPr>
        <w:numPr>
          <w:ilvl w:val="0"/>
          <w:numId w:val="10"/>
        </w:numPr>
        <w:tabs>
          <w:tab w:val="clear" w:pos="1800"/>
        </w:tabs>
        <w:ind w:left="540" w:hanging="540"/>
        <w:jc w:val="both"/>
      </w:pPr>
      <w:r>
        <w:t>Správce je oprávněn požadovat od odborů součinnost při zpracování výroční zprávy a stanovovat lhůty pro splnění jim požadovaných úkonů.</w:t>
      </w:r>
    </w:p>
    <w:p w:rsidR="005B1045" w:rsidRDefault="005B1045">
      <w:r>
        <w:br w:type="page"/>
      </w:r>
    </w:p>
    <w:p w:rsidR="007A3670" w:rsidRDefault="007A36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Část V</w:t>
      </w:r>
    </w:p>
    <w:p w:rsidR="00341017" w:rsidRDefault="007A36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Rozhodování o odvolání proti rozhodnutí </w:t>
      </w:r>
      <w:r w:rsidR="00D0545C">
        <w:rPr>
          <w:b/>
          <w:bCs/>
          <w:sz w:val="28"/>
        </w:rPr>
        <w:t>obce</w:t>
      </w:r>
      <w:r>
        <w:rPr>
          <w:b/>
          <w:bCs/>
          <w:sz w:val="28"/>
        </w:rPr>
        <w:t xml:space="preserve"> </w:t>
      </w:r>
    </w:p>
    <w:p w:rsidR="007A3670" w:rsidRDefault="007A36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odmítnutí žádosti</w:t>
      </w:r>
      <w:r w:rsidR="006667E0">
        <w:rPr>
          <w:b/>
          <w:bCs/>
          <w:sz w:val="28"/>
        </w:rPr>
        <w:t xml:space="preserve"> nebo její části </w:t>
      </w:r>
    </w:p>
    <w:p w:rsidR="007A3670" w:rsidRDefault="007A3670">
      <w:pPr>
        <w:jc w:val="both"/>
      </w:pP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Článek 11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i/>
          <w:iCs/>
        </w:rPr>
      </w:pPr>
      <w:r>
        <w:t xml:space="preserve">O odvolání proti rozhodnutí </w:t>
      </w:r>
      <w:r w:rsidR="00D0545C">
        <w:t>obce</w:t>
      </w:r>
      <w:r>
        <w:t xml:space="preserve"> o odmítnutí žádosti</w:t>
      </w:r>
      <w:r w:rsidR="00DB1E3A">
        <w:t xml:space="preserve"> nebo její části</w:t>
      </w:r>
      <w:r w:rsidR="00ED5CEE">
        <w:t>, vztahující se k samostatné i přenesené působnosti</w:t>
      </w:r>
      <w:r>
        <w:t>, rozhoduje krajský úřad. Funkčně příslušným odborem krajského úřadu k řízení o odvolání je</w:t>
      </w:r>
      <w:r>
        <w:rPr>
          <w:i/>
          <w:iCs/>
        </w:rPr>
        <w:t xml:space="preserve"> </w:t>
      </w:r>
      <w:r>
        <w:t>OLVV.</w:t>
      </w:r>
    </w:p>
    <w:p w:rsidR="007A3670" w:rsidRDefault="007A3670">
      <w:pPr>
        <w:jc w:val="both"/>
      </w:pPr>
    </w:p>
    <w:p w:rsidR="005B1045" w:rsidRDefault="007A3670" w:rsidP="00D47A94">
      <w:pPr>
        <w:ind w:left="567"/>
        <w:jc w:val="both"/>
      </w:pPr>
      <w:r>
        <w:t>OLVV je v řízení o odvolání oprávněn požadovat od odborů stanov</w:t>
      </w:r>
      <w:r w:rsidR="00556E2E">
        <w:t xml:space="preserve">iska k věcné problematice </w:t>
      </w:r>
      <w:r>
        <w:t xml:space="preserve">obsažené v žádosti odmítnuté zcela nebo z části </w:t>
      </w:r>
      <w:r w:rsidR="00D0545C">
        <w:t>obcí</w:t>
      </w:r>
      <w:r>
        <w:t xml:space="preserve"> a stanovit lhůtu pro předání tohoto stanoviska.</w:t>
      </w:r>
    </w:p>
    <w:p w:rsidR="00D47A94" w:rsidRDefault="00D47A94" w:rsidP="00D47A94">
      <w:pPr>
        <w:ind w:left="567"/>
        <w:jc w:val="both"/>
        <w:rPr>
          <w:b/>
          <w:bCs/>
          <w:sz w:val="28"/>
        </w:rPr>
      </w:pPr>
    </w:p>
    <w:p w:rsidR="007A3670" w:rsidRDefault="007A36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Část VI</w:t>
      </w:r>
    </w:p>
    <w:p w:rsidR="00341017" w:rsidRDefault="007A36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Rozhodování o stížnosti na postup </w:t>
      </w:r>
      <w:r w:rsidR="00D0545C">
        <w:rPr>
          <w:b/>
          <w:bCs/>
          <w:sz w:val="28"/>
        </w:rPr>
        <w:t>obce</w:t>
      </w:r>
      <w:r>
        <w:rPr>
          <w:b/>
          <w:bCs/>
          <w:sz w:val="28"/>
        </w:rPr>
        <w:t xml:space="preserve"> </w:t>
      </w:r>
    </w:p>
    <w:p w:rsidR="007A3670" w:rsidRDefault="007A36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při vyřizování žádosti o poskytnutí informace</w:t>
      </w:r>
    </w:p>
    <w:p w:rsidR="007A3670" w:rsidRDefault="007A3670">
      <w:pPr>
        <w:jc w:val="both"/>
      </w:pP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Článek 12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12"/>
        </w:numPr>
        <w:tabs>
          <w:tab w:val="clear" w:pos="720"/>
        </w:tabs>
        <w:ind w:left="540" w:hanging="540"/>
        <w:jc w:val="both"/>
      </w:pPr>
      <w:r>
        <w:t xml:space="preserve">O stížnosti žadatele na postup </w:t>
      </w:r>
      <w:r w:rsidR="00D0545C">
        <w:t>obce</w:t>
      </w:r>
      <w:r>
        <w:t xml:space="preserve"> při vyřizování žádosti</w:t>
      </w:r>
      <w:r w:rsidR="00ED5CEE">
        <w:t>,</w:t>
      </w:r>
      <w:r>
        <w:t xml:space="preserve"> </w:t>
      </w:r>
      <w:r w:rsidR="008C3F46">
        <w:t>vztahující se k samostatné i </w:t>
      </w:r>
      <w:r w:rsidR="00ED5CEE">
        <w:t xml:space="preserve">přenesené působnosti obce, </w:t>
      </w:r>
      <w:r>
        <w:t>rozhoduje krajský úřad. Funkčně příslušným odborem krajského úřadu k řízení o stížnosti je OLVV.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12"/>
        </w:numPr>
        <w:tabs>
          <w:tab w:val="clear" w:pos="720"/>
        </w:tabs>
        <w:ind w:left="540" w:hanging="540"/>
        <w:jc w:val="both"/>
      </w:pPr>
      <w:r>
        <w:t>Při řízení o stížnosti platí ustanovení části V odst. 2 obdobně.</w:t>
      </w:r>
    </w:p>
    <w:p w:rsidR="007A3670" w:rsidRDefault="007A3670">
      <w:pPr>
        <w:jc w:val="both"/>
      </w:pPr>
    </w:p>
    <w:p w:rsidR="00CA2FEE" w:rsidRDefault="00CA2FEE">
      <w:pPr>
        <w:jc w:val="both"/>
      </w:pPr>
    </w:p>
    <w:p w:rsidR="007A3670" w:rsidRDefault="007A36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Část VII</w:t>
      </w:r>
    </w:p>
    <w:p w:rsidR="007A3670" w:rsidRDefault="007A36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Poskytování informací podle zákona o informacích o ŽP</w:t>
      </w:r>
    </w:p>
    <w:p w:rsidR="007A3670" w:rsidRDefault="007A3670">
      <w:pPr>
        <w:jc w:val="both"/>
      </w:pP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Článek 13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13"/>
        </w:numPr>
        <w:tabs>
          <w:tab w:val="clear" w:pos="720"/>
        </w:tabs>
        <w:ind w:left="540" w:hanging="540"/>
        <w:jc w:val="both"/>
      </w:pPr>
      <w:r>
        <w:t>Funkčně příslušným odborem krajského úřadu, zajišťujícím plnění úkolů vyplývajících pro orgány kraje ze zákona o informacích o ŽP způsobem a postupy určenými v tomto zákoně, je odbor životního prostředí, zemědělství a lesnictví.</w:t>
      </w:r>
    </w:p>
    <w:p w:rsidR="007A3670" w:rsidRDefault="007A3670">
      <w:pPr>
        <w:jc w:val="both"/>
      </w:pPr>
    </w:p>
    <w:p w:rsidR="00CA2FEE" w:rsidRDefault="00CA2FEE">
      <w:pPr>
        <w:jc w:val="both"/>
      </w:pPr>
    </w:p>
    <w:p w:rsidR="007A3670" w:rsidRDefault="007A36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Část VIII</w:t>
      </w:r>
    </w:p>
    <w:p w:rsidR="007A3670" w:rsidRDefault="007A3670">
      <w:pPr>
        <w:jc w:val="center"/>
      </w:pPr>
      <w:r>
        <w:rPr>
          <w:b/>
          <w:bCs/>
          <w:sz w:val="28"/>
        </w:rPr>
        <w:t>Rozhodování o odvolání proti rozhodn</w:t>
      </w:r>
      <w:r w:rsidR="0025265F">
        <w:rPr>
          <w:b/>
          <w:bCs/>
          <w:sz w:val="28"/>
        </w:rPr>
        <w:t>utí organizace zřízené krajem o </w:t>
      </w:r>
      <w:r>
        <w:rPr>
          <w:b/>
          <w:bCs/>
          <w:sz w:val="28"/>
        </w:rPr>
        <w:t>odmítnutí žádosti</w:t>
      </w:r>
      <w:r w:rsidR="00DB1E3A">
        <w:rPr>
          <w:b/>
          <w:bCs/>
          <w:sz w:val="28"/>
        </w:rPr>
        <w:t xml:space="preserve"> nebo její části </w:t>
      </w:r>
      <w:r>
        <w:rPr>
          <w:b/>
          <w:bCs/>
          <w:sz w:val="28"/>
        </w:rPr>
        <w:t xml:space="preserve">a rozhodování o stížnosti na postup organizace zřízené krajem při vyřizování </w:t>
      </w:r>
      <w:r w:rsidR="006667E0">
        <w:rPr>
          <w:b/>
          <w:bCs/>
          <w:sz w:val="28"/>
        </w:rPr>
        <w:t>ž</w:t>
      </w:r>
      <w:r>
        <w:rPr>
          <w:b/>
          <w:bCs/>
          <w:sz w:val="28"/>
        </w:rPr>
        <w:t xml:space="preserve">ádosti </w:t>
      </w:r>
      <w:r w:rsidR="00ED5CEE">
        <w:rPr>
          <w:b/>
          <w:bCs/>
          <w:sz w:val="28"/>
        </w:rPr>
        <w:t>nebo její části</w:t>
      </w:r>
    </w:p>
    <w:p w:rsidR="007A3670" w:rsidRDefault="007A3670">
      <w:pPr>
        <w:jc w:val="both"/>
      </w:pP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Článek 14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15"/>
        </w:numPr>
        <w:tabs>
          <w:tab w:val="clear" w:pos="1800"/>
        </w:tabs>
        <w:ind w:left="540" w:hanging="540"/>
        <w:jc w:val="both"/>
      </w:pPr>
      <w:r>
        <w:t>K rozhodnutí o</w:t>
      </w:r>
      <w:r w:rsidR="00D47A94">
        <w:t>:</w:t>
      </w:r>
    </w:p>
    <w:p w:rsidR="007A3670" w:rsidRDefault="007A3670" w:rsidP="00CA2FEE">
      <w:pPr>
        <w:numPr>
          <w:ilvl w:val="0"/>
          <w:numId w:val="16"/>
        </w:numPr>
        <w:tabs>
          <w:tab w:val="clear" w:pos="1800"/>
        </w:tabs>
        <w:ind w:left="900"/>
        <w:jc w:val="both"/>
      </w:pPr>
      <w:r>
        <w:t xml:space="preserve">odvolání proti rozhodnutí </w:t>
      </w:r>
      <w:r w:rsidR="00D0545C">
        <w:t xml:space="preserve">zřízené </w:t>
      </w:r>
      <w:r>
        <w:t>organizace o odmítnutí žádosti</w:t>
      </w:r>
      <w:r w:rsidR="00DB1E3A">
        <w:t xml:space="preserve"> nebo její</w:t>
      </w:r>
      <w:r>
        <w:t xml:space="preserve"> části,</w:t>
      </w:r>
    </w:p>
    <w:p w:rsidR="007A3670" w:rsidRDefault="007A3670" w:rsidP="00CA2FEE">
      <w:pPr>
        <w:numPr>
          <w:ilvl w:val="0"/>
          <w:numId w:val="16"/>
        </w:numPr>
        <w:tabs>
          <w:tab w:val="clear" w:pos="1800"/>
        </w:tabs>
        <w:ind w:left="900"/>
        <w:jc w:val="both"/>
      </w:pPr>
      <w:r>
        <w:t xml:space="preserve">stížnosti na postup </w:t>
      </w:r>
      <w:r w:rsidR="00D0545C">
        <w:t xml:space="preserve">zřízené </w:t>
      </w:r>
      <w:r>
        <w:t>organizace při vyřizování žádost</w:t>
      </w:r>
      <w:r w:rsidR="00ED5CEE">
        <w:t>i nebo její části</w:t>
      </w:r>
      <w:r>
        <w:t>,</w:t>
      </w:r>
    </w:p>
    <w:p w:rsidR="007A3670" w:rsidRDefault="007A3670">
      <w:pPr>
        <w:ind w:left="540"/>
        <w:jc w:val="both"/>
      </w:pPr>
      <w:r>
        <w:lastRenderedPageBreak/>
        <w:t xml:space="preserve">je příslušná </w:t>
      </w:r>
      <w:r w:rsidR="00DB1E3A">
        <w:t>rada kraje</w:t>
      </w:r>
      <w:r>
        <w:t>, jako orgán kraje, který vůči příspěvkové organizaci vykonává funkci zřizovatele podle ust. § 59 odst. 1 písm. i) zákona č. 129/2000 Sb., o krajích, ve znění pozdějších předpisů.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15"/>
        </w:numPr>
        <w:tabs>
          <w:tab w:val="clear" w:pos="1800"/>
        </w:tabs>
        <w:ind w:left="540" w:hanging="540"/>
        <w:jc w:val="both"/>
      </w:pPr>
      <w:r>
        <w:t xml:space="preserve">Podklady pro jednání </w:t>
      </w:r>
      <w:r w:rsidR="00DB1E3A">
        <w:t>rady kraje</w:t>
      </w:r>
      <w:r>
        <w:t xml:space="preserve"> zpracovává </w:t>
      </w:r>
      <w:r w:rsidR="00D0545C">
        <w:t>OLVV ve spolupráci s </w:t>
      </w:r>
      <w:r>
        <w:t>odbor</w:t>
      </w:r>
      <w:r w:rsidR="00D0545C">
        <w:t>em,</w:t>
      </w:r>
      <w:r>
        <w:t xml:space="preserve"> do jehož věcné příslušnosti činnost organizace náleží.</w:t>
      </w:r>
    </w:p>
    <w:p w:rsidR="007A3670" w:rsidRDefault="007A3670">
      <w:pPr>
        <w:jc w:val="both"/>
      </w:pPr>
    </w:p>
    <w:p w:rsidR="007A3670" w:rsidRDefault="007A36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Část IX</w:t>
      </w:r>
    </w:p>
    <w:p w:rsidR="007A3670" w:rsidRDefault="007A36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Závěrečná ustanovení</w:t>
      </w:r>
    </w:p>
    <w:p w:rsidR="007A3670" w:rsidRDefault="007A3670">
      <w:pPr>
        <w:jc w:val="both"/>
      </w:pPr>
    </w:p>
    <w:p w:rsidR="007A3670" w:rsidRDefault="007A3670">
      <w:pPr>
        <w:jc w:val="center"/>
        <w:rPr>
          <w:b/>
          <w:bCs/>
        </w:rPr>
      </w:pPr>
      <w:r>
        <w:rPr>
          <w:b/>
          <w:bCs/>
        </w:rPr>
        <w:t>Článek 15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14"/>
        </w:numPr>
        <w:tabs>
          <w:tab w:val="clear" w:pos="720"/>
        </w:tabs>
        <w:ind w:left="540" w:hanging="540"/>
        <w:jc w:val="both"/>
      </w:pPr>
      <w:r>
        <w:t>Tato směrnice je závazná pro všechny zaměstnance kraje zařazené do krajského úřadu.</w:t>
      </w:r>
    </w:p>
    <w:p w:rsidR="007A3670" w:rsidRDefault="007A3670">
      <w:pPr>
        <w:jc w:val="both"/>
      </w:pPr>
    </w:p>
    <w:p w:rsidR="007A3670" w:rsidRDefault="007A3670" w:rsidP="00CA2FEE">
      <w:pPr>
        <w:numPr>
          <w:ilvl w:val="0"/>
          <w:numId w:val="14"/>
        </w:numPr>
        <w:tabs>
          <w:tab w:val="clear" w:pos="720"/>
        </w:tabs>
        <w:ind w:left="540" w:hanging="540"/>
        <w:jc w:val="both"/>
      </w:pPr>
      <w:r>
        <w:t xml:space="preserve">Změna č. </w:t>
      </w:r>
      <w:r w:rsidR="0018266A">
        <w:t>6</w:t>
      </w:r>
      <w:r>
        <w:t xml:space="preserve"> SM/10/RK Směrnice o poskytování informací, nabývá platnosti dnem schválení </w:t>
      </w:r>
      <w:r w:rsidR="00DB1E3A">
        <w:t>r</w:t>
      </w:r>
      <w:r>
        <w:t xml:space="preserve">adou kraje a účinnosti dnem stanoveným usnesením </w:t>
      </w:r>
      <w:r w:rsidR="00DB1E3A">
        <w:t>rady kraje</w:t>
      </w:r>
      <w:r>
        <w:t>.</w:t>
      </w:r>
    </w:p>
    <w:p w:rsidR="007A3670" w:rsidRDefault="007A3670">
      <w:pPr>
        <w:ind w:left="540"/>
        <w:jc w:val="both"/>
      </w:pPr>
    </w:p>
    <w:p w:rsidR="001D0144" w:rsidRDefault="001D0144">
      <w:pPr>
        <w:ind w:left="540"/>
        <w:jc w:val="both"/>
      </w:pPr>
    </w:p>
    <w:p w:rsidR="00873908" w:rsidRDefault="00873908">
      <w:pPr>
        <w:ind w:left="540"/>
        <w:jc w:val="both"/>
      </w:pPr>
    </w:p>
    <w:p w:rsidR="00873908" w:rsidRDefault="00873908">
      <w:pPr>
        <w:ind w:left="540"/>
        <w:jc w:val="both"/>
      </w:pPr>
    </w:p>
    <w:p w:rsidR="00873908" w:rsidRDefault="00873908" w:rsidP="001D0144">
      <w:pPr>
        <w:tabs>
          <w:tab w:val="left" w:pos="720"/>
          <w:tab w:val="left" w:pos="6480"/>
        </w:tabs>
        <w:spacing w:line="276" w:lineRule="auto"/>
      </w:pPr>
    </w:p>
    <w:p w:rsidR="007A3670" w:rsidRDefault="00873908" w:rsidP="001D0144">
      <w:pPr>
        <w:tabs>
          <w:tab w:val="left" w:pos="720"/>
          <w:tab w:val="left" w:pos="6480"/>
        </w:tabs>
        <w:spacing w:line="276" w:lineRule="auto"/>
      </w:pPr>
      <w:r>
        <w:t xml:space="preserve">      </w:t>
      </w:r>
      <w:r w:rsidR="007D5544">
        <w:t>JUDr. Milan Kučera, Ph. D.</w:t>
      </w:r>
      <w:r>
        <w:t xml:space="preserve"> v.r.</w:t>
      </w:r>
      <w:r w:rsidR="007D5544">
        <w:t xml:space="preserve"> </w:t>
      </w:r>
      <w:r>
        <w:t xml:space="preserve">                                               </w:t>
      </w:r>
      <w:r w:rsidR="00736EEC">
        <w:t xml:space="preserve">Mgr. </w:t>
      </w:r>
      <w:r w:rsidR="0055288C">
        <w:t>Ivana Stráská</w:t>
      </w:r>
      <w:r w:rsidR="00736EEC">
        <w:t xml:space="preserve"> </w:t>
      </w:r>
      <w:r>
        <w:t>v.r.</w:t>
      </w:r>
    </w:p>
    <w:p w:rsidR="00B51031" w:rsidRDefault="00873908" w:rsidP="00870D86">
      <w:pPr>
        <w:pStyle w:val="Zhlav"/>
        <w:tabs>
          <w:tab w:val="clear" w:pos="4536"/>
          <w:tab w:val="clear" w:pos="9072"/>
          <w:tab w:val="left" w:pos="851"/>
        </w:tabs>
        <w:spacing w:line="276" w:lineRule="auto"/>
      </w:pPr>
      <w:r>
        <w:t xml:space="preserve">           ř</w:t>
      </w:r>
      <w:r w:rsidR="007D5544">
        <w:t>editel krajského úřadu</w:t>
      </w:r>
      <w:r w:rsidR="00DB4A3D">
        <w:t xml:space="preserve"> </w:t>
      </w:r>
      <w:r w:rsidR="00DB4A3D">
        <w:tab/>
      </w:r>
      <w:r w:rsidR="00DB4A3D">
        <w:tab/>
      </w:r>
      <w:r w:rsidR="00DB4A3D">
        <w:tab/>
      </w:r>
      <w:r w:rsidR="00DB4A3D">
        <w:tab/>
      </w:r>
      <w:r w:rsidR="00DB4A3D">
        <w:tab/>
        <w:t xml:space="preserve">  </w:t>
      </w:r>
      <w:r>
        <w:t xml:space="preserve">  </w:t>
      </w:r>
      <w:r w:rsidR="007A3670">
        <w:t>hejtman</w:t>
      </w:r>
      <w:r w:rsidR="0055288C">
        <w:t>ka</w:t>
      </w:r>
      <w:r w:rsidR="007D5544">
        <w:t xml:space="preserve"> kraje</w:t>
      </w:r>
    </w:p>
    <w:p w:rsidR="007A3670" w:rsidRDefault="00B51031" w:rsidP="00B51031">
      <w:pPr>
        <w:pStyle w:val="Zhlav"/>
        <w:tabs>
          <w:tab w:val="clear" w:pos="4536"/>
          <w:tab w:val="clear" w:pos="9072"/>
          <w:tab w:val="left" w:pos="851"/>
        </w:tabs>
        <w:spacing w:line="276" w:lineRule="auto"/>
        <w:jc w:val="right"/>
      </w:pPr>
      <w:r>
        <w:br w:type="page"/>
      </w:r>
      <w:r w:rsidR="001D0144">
        <w:lastRenderedPageBreak/>
        <w:t>Příloha SM/10/RK</w:t>
      </w:r>
      <w:r w:rsidR="007A3670">
        <w:t xml:space="preserve"> č. 1</w:t>
      </w:r>
    </w:p>
    <w:p w:rsidR="007A3670" w:rsidRDefault="007A3670">
      <w:pPr>
        <w:pStyle w:val="Zhlav"/>
        <w:tabs>
          <w:tab w:val="clear" w:pos="4536"/>
          <w:tab w:val="clear" w:pos="9072"/>
          <w:tab w:val="left" w:pos="851"/>
          <w:tab w:val="left" w:pos="7088"/>
        </w:tabs>
        <w:jc w:val="both"/>
        <w:rPr>
          <w:b/>
          <w:bCs/>
        </w:rPr>
      </w:pPr>
    </w:p>
    <w:p w:rsidR="007A3670" w:rsidRPr="0092292D" w:rsidRDefault="007A3670">
      <w:pPr>
        <w:jc w:val="center"/>
        <w:rPr>
          <w:b/>
          <w:bCs/>
          <w:sz w:val="28"/>
        </w:rPr>
      </w:pPr>
      <w:r w:rsidRPr="0092292D">
        <w:rPr>
          <w:b/>
          <w:bCs/>
          <w:sz w:val="28"/>
        </w:rPr>
        <w:t>Formulář pro podání žádosti o posky</w:t>
      </w:r>
      <w:r w:rsidR="0092292D">
        <w:rPr>
          <w:b/>
          <w:bCs/>
          <w:sz w:val="28"/>
        </w:rPr>
        <w:t>tnutí informace podle zákona č. </w:t>
      </w:r>
      <w:r w:rsidRPr="0092292D">
        <w:rPr>
          <w:b/>
          <w:bCs/>
          <w:sz w:val="28"/>
        </w:rPr>
        <w:t>106/1999 Sb., o svobodném přístupu k informacím</w:t>
      </w:r>
    </w:p>
    <w:p w:rsidR="007A3670" w:rsidRDefault="007A3670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6847"/>
      </w:tblGrid>
      <w:tr w:rsidR="007A3670">
        <w:trPr>
          <w:cantSplit/>
          <w:trHeight w:val="567"/>
        </w:trPr>
        <w:tc>
          <w:tcPr>
            <w:tcW w:w="2230" w:type="dxa"/>
            <w:tcBorders>
              <w:bottom w:val="single" w:sz="12" w:space="0" w:color="auto"/>
            </w:tcBorders>
            <w:vAlign w:val="center"/>
          </w:tcPr>
          <w:p w:rsidR="007A3670" w:rsidRDefault="007A3670">
            <w:pPr>
              <w:rPr>
                <w:b/>
                <w:bCs/>
              </w:rPr>
            </w:pPr>
            <w:r>
              <w:rPr>
                <w:b/>
                <w:bCs/>
              </w:rPr>
              <w:t>Adresát žádosti:</w:t>
            </w:r>
          </w:p>
        </w:tc>
        <w:tc>
          <w:tcPr>
            <w:tcW w:w="6982" w:type="dxa"/>
            <w:tcBorders>
              <w:bottom w:val="single" w:sz="12" w:space="0" w:color="auto"/>
            </w:tcBorders>
            <w:vAlign w:val="center"/>
          </w:tcPr>
          <w:p w:rsidR="007A3670" w:rsidRDefault="007A367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7A3670">
        <w:trPr>
          <w:cantSplit/>
          <w:trHeight w:val="284"/>
        </w:trPr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7A3670" w:rsidRDefault="007A3670">
            <w:pPr>
              <w:rPr>
                <w:b/>
                <w:bCs/>
              </w:rPr>
            </w:pPr>
            <w:r>
              <w:rPr>
                <w:b/>
                <w:bCs/>
              </w:rPr>
              <w:t>Fyzická osoba:</w:t>
            </w:r>
          </w:p>
        </w:tc>
        <w:tc>
          <w:tcPr>
            <w:tcW w:w="6982" w:type="dxa"/>
            <w:tcBorders>
              <w:top w:val="single" w:sz="12" w:space="0" w:color="auto"/>
            </w:tcBorders>
            <w:vAlign w:val="center"/>
          </w:tcPr>
          <w:p w:rsidR="007A3670" w:rsidRDefault="007A367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7A3670">
        <w:trPr>
          <w:cantSplit/>
          <w:trHeight w:val="284"/>
        </w:trPr>
        <w:tc>
          <w:tcPr>
            <w:tcW w:w="2230" w:type="dxa"/>
            <w:vAlign w:val="center"/>
          </w:tcPr>
          <w:p w:rsidR="007A3670" w:rsidRDefault="007A3670">
            <w:pPr>
              <w:pStyle w:val="Zhlav"/>
              <w:tabs>
                <w:tab w:val="clear" w:pos="4536"/>
                <w:tab w:val="clear" w:pos="9072"/>
              </w:tabs>
            </w:pPr>
            <w:r>
              <w:t>jméno a příjmení:</w:t>
            </w:r>
          </w:p>
        </w:tc>
        <w:tc>
          <w:tcPr>
            <w:tcW w:w="6982" w:type="dxa"/>
            <w:vAlign w:val="center"/>
          </w:tcPr>
          <w:p w:rsidR="007A3670" w:rsidRDefault="007A367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7A3670">
        <w:trPr>
          <w:cantSplit/>
          <w:trHeight w:val="284"/>
        </w:trPr>
        <w:tc>
          <w:tcPr>
            <w:tcW w:w="2230" w:type="dxa"/>
            <w:vAlign w:val="center"/>
          </w:tcPr>
          <w:p w:rsidR="007A3670" w:rsidRDefault="007A3670">
            <w:r>
              <w:t>datum narození:</w:t>
            </w:r>
          </w:p>
        </w:tc>
        <w:tc>
          <w:tcPr>
            <w:tcW w:w="6982" w:type="dxa"/>
            <w:vAlign w:val="center"/>
          </w:tcPr>
          <w:p w:rsidR="007A3670" w:rsidRDefault="007A367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7A3670">
        <w:trPr>
          <w:cantSplit/>
        </w:trPr>
        <w:tc>
          <w:tcPr>
            <w:tcW w:w="2230" w:type="dxa"/>
            <w:tcBorders>
              <w:bottom w:val="single" w:sz="12" w:space="0" w:color="auto"/>
            </w:tcBorders>
          </w:tcPr>
          <w:p w:rsidR="007A3670" w:rsidRDefault="007A3670">
            <w:r>
              <w:t>adresa místa trvalého pobytu</w:t>
            </w:r>
            <w:r>
              <w:rPr>
                <w:vertAlign w:val="superscript"/>
              </w:rPr>
              <w:t>1)</w:t>
            </w:r>
          </w:p>
        </w:tc>
        <w:tc>
          <w:tcPr>
            <w:tcW w:w="6982" w:type="dxa"/>
            <w:tcBorders>
              <w:bottom w:val="single" w:sz="12" w:space="0" w:color="auto"/>
            </w:tcBorders>
            <w:vAlign w:val="center"/>
          </w:tcPr>
          <w:p w:rsidR="007A3670" w:rsidRDefault="007A367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7A3670">
        <w:trPr>
          <w:cantSplit/>
          <w:trHeight w:val="284"/>
        </w:trPr>
        <w:tc>
          <w:tcPr>
            <w:tcW w:w="2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3670" w:rsidRDefault="007A3670">
            <w:pPr>
              <w:rPr>
                <w:b/>
                <w:bCs/>
              </w:rPr>
            </w:pPr>
            <w:r>
              <w:rPr>
                <w:b/>
                <w:bCs/>
              </w:rPr>
              <w:t>Právnická osoba:</w:t>
            </w:r>
          </w:p>
        </w:tc>
        <w:tc>
          <w:tcPr>
            <w:tcW w:w="6982" w:type="dxa"/>
            <w:tcBorders>
              <w:top w:val="single" w:sz="12" w:space="0" w:color="auto"/>
              <w:bottom w:val="single" w:sz="4" w:space="0" w:color="auto"/>
            </w:tcBorders>
          </w:tcPr>
          <w:p w:rsidR="007A3670" w:rsidRDefault="007A367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7A3670">
        <w:trPr>
          <w:cantSplit/>
          <w:trHeight w:val="567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7A3670" w:rsidRDefault="007A3670">
            <w:pPr>
              <w:pStyle w:val="Zhlav"/>
              <w:tabs>
                <w:tab w:val="clear" w:pos="4536"/>
                <w:tab w:val="clear" w:pos="9072"/>
              </w:tabs>
            </w:pPr>
            <w:r>
              <w:t>název</w:t>
            </w:r>
          </w:p>
        </w:tc>
        <w:tc>
          <w:tcPr>
            <w:tcW w:w="6982" w:type="dxa"/>
            <w:tcBorders>
              <w:bottom w:val="single" w:sz="4" w:space="0" w:color="auto"/>
            </w:tcBorders>
            <w:vAlign w:val="center"/>
          </w:tcPr>
          <w:p w:rsidR="007A3670" w:rsidRDefault="007A367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7A3670">
        <w:trPr>
          <w:cantSplit/>
          <w:trHeight w:val="284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7A3670" w:rsidRDefault="00CA2FEE">
            <w:r>
              <w:t>i</w:t>
            </w:r>
            <w:r w:rsidR="007A3670">
              <w:t>dentifikační číslo</w:t>
            </w:r>
          </w:p>
        </w:tc>
        <w:tc>
          <w:tcPr>
            <w:tcW w:w="6982" w:type="dxa"/>
            <w:tcBorders>
              <w:bottom w:val="single" w:sz="4" w:space="0" w:color="auto"/>
            </w:tcBorders>
            <w:vAlign w:val="center"/>
          </w:tcPr>
          <w:p w:rsidR="007A3670" w:rsidRDefault="007A367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7A3670">
        <w:trPr>
          <w:cantSplit/>
          <w:trHeight w:val="567"/>
        </w:trPr>
        <w:tc>
          <w:tcPr>
            <w:tcW w:w="2230" w:type="dxa"/>
            <w:tcBorders>
              <w:bottom w:val="single" w:sz="12" w:space="0" w:color="auto"/>
            </w:tcBorders>
            <w:vAlign w:val="center"/>
          </w:tcPr>
          <w:p w:rsidR="007A3670" w:rsidRDefault="007A3670">
            <w:r>
              <w:t>adresa sídla</w:t>
            </w:r>
            <w:r>
              <w:rPr>
                <w:vertAlign w:val="superscript"/>
              </w:rPr>
              <w:t>2)</w:t>
            </w:r>
          </w:p>
        </w:tc>
        <w:tc>
          <w:tcPr>
            <w:tcW w:w="6982" w:type="dxa"/>
            <w:tcBorders>
              <w:bottom w:val="single" w:sz="12" w:space="0" w:color="auto"/>
            </w:tcBorders>
            <w:vAlign w:val="center"/>
          </w:tcPr>
          <w:p w:rsidR="007A3670" w:rsidRDefault="007A367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7A3670">
        <w:trPr>
          <w:cantSplit/>
          <w:trHeight w:val="567"/>
        </w:trPr>
        <w:tc>
          <w:tcPr>
            <w:tcW w:w="223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A3670" w:rsidRDefault="007A3670">
            <w:r>
              <w:t>Předmět žádosti:</w:t>
            </w:r>
          </w:p>
        </w:tc>
        <w:tc>
          <w:tcPr>
            <w:tcW w:w="698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A3670" w:rsidRDefault="007A367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7A3670">
        <w:trPr>
          <w:cantSplit/>
          <w:trHeight w:val="5163"/>
        </w:trPr>
        <w:tc>
          <w:tcPr>
            <w:tcW w:w="22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A3670" w:rsidRDefault="007A3670">
            <w:r>
              <w:t>Text žádosti:</w:t>
            </w:r>
          </w:p>
        </w:tc>
        <w:tc>
          <w:tcPr>
            <w:tcW w:w="69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A3670" w:rsidRDefault="007A367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7A3670">
        <w:trPr>
          <w:cantSplit/>
          <w:trHeight w:val="284"/>
        </w:trPr>
        <w:tc>
          <w:tcPr>
            <w:tcW w:w="2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3670" w:rsidRDefault="007A3670">
            <w:r>
              <w:t>Datum:</w:t>
            </w:r>
          </w:p>
        </w:tc>
        <w:tc>
          <w:tcPr>
            <w:tcW w:w="69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3670" w:rsidRDefault="007A367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7A3670">
        <w:trPr>
          <w:cantSplit/>
          <w:trHeight w:val="567"/>
        </w:trPr>
        <w:tc>
          <w:tcPr>
            <w:tcW w:w="2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3670" w:rsidRDefault="007A3670">
            <w:r>
              <w:t>Podpis</w:t>
            </w:r>
          </w:p>
        </w:tc>
        <w:tc>
          <w:tcPr>
            <w:tcW w:w="69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3670" w:rsidRDefault="007A367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7A3670" w:rsidRDefault="007A3670">
      <w:pPr>
        <w:ind w:left="340" w:hanging="340"/>
        <w:jc w:val="both"/>
      </w:pPr>
      <w:r>
        <w:t>1) fyzická osoba uvede adresu místa trvalého pobytu nebo, není-li přihlášena k trvalému pobytu, adresu bydliště a adresu pro doručování, liší-li se od adresy místa trvalého pobytu nebo bydliště; adresou pro doručování se rozumí též elektronická adresa</w:t>
      </w:r>
    </w:p>
    <w:p w:rsidR="007A3670" w:rsidRDefault="007A3670">
      <w:pPr>
        <w:ind w:left="340" w:hanging="340"/>
        <w:jc w:val="both"/>
      </w:pPr>
      <w:r>
        <w:t>2) právnická osoba uvede adresu sídla a adresu pro doručování, liší-li se od adresy sídla; adresou pro doručování se rozumí též elektronická adresa</w:t>
      </w:r>
    </w:p>
    <w:p w:rsidR="007A3670" w:rsidRDefault="007A3670">
      <w:pPr>
        <w:jc w:val="right"/>
      </w:pPr>
      <w:r>
        <w:br w:type="page"/>
      </w:r>
      <w:r>
        <w:lastRenderedPageBreak/>
        <w:t>Příloha</w:t>
      </w:r>
      <w:r w:rsidR="001D0144">
        <w:t xml:space="preserve"> SM/10/RK </w:t>
      </w:r>
      <w:r>
        <w:t>č. 2</w:t>
      </w:r>
    </w:p>
    <w:p w:rsidR="001D0144" w:rsidRDefault="001D0144">
      <w:pPr>
        <w:jc w:val="center"/>
        <w:rPr>
          <w:b/>
          <w:bCs/>
        </w:rPr>
      </w:pPr>
    </w:p>
    <w:p w:rsidR="007A3670" w:rsidRPr="001D0144" w:rsidRDefault="007A3670">
      <w:pPr>
        <w:jc w:val="center"/>
        <w:rPr>
          <w:b/>
          <w:bCs/>
          <w:sz w:val="28"/>
        </w:rPr>
      </w:pPr>
      <w:r w:rsidRPr="001D0144">
        <w:rPr>
          <w:b/>
          <w:bCs/>
          <w:sz w:val="28"/>
        </w:rPr>
        <w:t>Sazebník úhrad nákladů za poskytování in</w:t>
      </w:r>
      <w:r w:rsidR="00E70DD7" w:rsidRPr="001D0144">
        <w:rPr>
          <w:b/>
          <w:bCs/>
          <w:sz w:val="28"/>
        </w:rPr>
        <w:t>formací po</w:t>
      </w:r>
      <w:r w:rsidR="001D0144">
        <w:rPr>
          <w:b/>
          <w:bCs/>
          <w:sz w:val="28"/>
        </w:rPr>
        <w:t>dle zákona č. </w:t>
      </w:r>
      <w:r w:rsidR="00E70DD7" w:rsidRPr="001D0144">
        <w:rPr>
          <w:b/>
          <w:bCs/>
          <w:sz w:val="28"/>
        </w:rPr>
        <w:t>106/1999</w:t>
      </w:r>
      <w:r w:rsidRPr="001D0144">
        <w:rPr>
          <w:b/>
          <w:bCs/>
          <w:sz w:val="28"/>
        </w:rPr>
        <w:t xml:space="preserve"> Sb., o svobodném přístupu k informacím</w:t>
      </w:r>
      <w:r w:rsidR="00AF6C6E" w:rsidRPr="001D0144">
        <w:rPr>
          <w:b/>
          <w:bCs/>
          <w:sz w:val="28"/>
        </w:rPr>
        <w:t xml:space="preserve"> na rok 201</w:t>
      </w:r>
      <w:r w:rsidR="009E7869">
        <w:rPr>
          <w:b/>
          <w:bCs/>
          <w:sz w:val="28"/>
        </w:rPr>
        <w:t>9</w:t>
      </w:r>
    </w:p>
    <w:p w:rsidR="007A3670" w:rsidRDefault="007A3670">
      <w:pPr>
        <w:jc w:val="both"/>
      </w:pPr>
    </w:p>
    <w:p w:rsidR="007A3670" w:rsidRDefault="00AF6C6E" w:rsidP="001303E2">
      <w:pPr>
        <w:jc w:val="both"/>
      </w:pPr>
      <w:r w:rsidRPr="009C7F98">
        <w:t xml:space="preserve">Vydaný na základě usnesení Rady Jihočeského kraje </w:t>
      </w:r>
      <w:r w:rsidR="001303E2" w:rsidRPr="001303E2">
        <w:t>č. 138/2019/RK-61 ze dne 7. 2. 2019</w:t>
      </w:r>
    </w:p>
    <w:p w:rsidR="001303E2" w:rsidRDefault="001303E2" w:rsidP="001303E2">
      <w:pPr>
        <w:jc w:val="both"/>
      </w:pPr>
      <w:bookmarkStart w:id="0" w:name="_GoBack"/>
      <w:bookmarkEnd w:id="0"/>
    </w:p>
    <w:p w:rsidR="007A3670" w:rsidRDefault="007A3670">
      <w:pPr>
        <w:pBdr>
          <w:bottom w:val="single" w:sz="12" w:space="1" w:color="auto"/>
        </w:pBdr>
        <w:tabs>
          <w:tab w:val="left" w:pos="1440"/>
          <w:tab w:val="left" w:pos="8100"/>
        </w:tabs>
      </w:pPr>
      <w:r>
        <w:tab/>
        <w:t>Úkon</w:t>
      </w:r>
      <w:r>
        <w:tab/>
        <w:t>Kč</w:t>
      </w:r>
    </w:p>
    <w:p w:rsidR="007A3670" w:rsidRDefault="007A3670">
      <w:pPr>
        <w:tabs>
          <w:tab w:val="left" w:pos="720"/>
          <w:tab w:val="left" w:pos="7200"/>
        </w:tabs>
      </w:pPr>
    </w:p>
    <w:p w:rsidR="00D0545C" w:rsidRPr="00CA2FEE" w:rsidRDefault="0034101F">
      <w:pPr>
        <w:tabs>
          <w:tab w:val="left" w:pos="720"/>
          <w:tab w:val="left" w:pos="7200"/>
        </w:tabs>
        <w:rPr>
          <w:b/>
        </w:rPr>
      </w:pPr>
      <w:r w:rsidRPr="00CA2FEE">
        <w:rPr>
          <w:b/>
        </w:rPr>
        <w:t>I. Pořízení kopií</w:t>
      </w:r>
    </w:p>
    <w:p w:rsidR="0034101F" w:rsidRDefault="0034101F">
      <w:pPr>
        <w:tabs>
          <w:tab w:val="left" w:pos="720"/>
          <w:tab w:val="left" w:pos="7200"/>
        </w:tabs>
      </w:pPr>
    </w:p>
    <w:p w:rsidR="007A3670" w:rsidRDefault="00486DA2" w:rsidP="00CA2FEE">
      <w:pPr>
        <w:numPr>
          <w:ilvl w:val="0"/>
          <w:numId w:val="18"/>
        </w:numPr>
        <w:tabs>
          <w:tab w:val="clear" w:pos="720"/>
          <w:tab w:val="num" w:pos="360"/>
          <w:tab w:val="decimal" w:pos="8100"/>
        </w:tabs>
        <w:ind w:hanging="720"/>
      </w:pPr>
      <w:r>
        <w:t>Tisk nebo</w:t>
      </w:r>
      <w:r w:rsidR="0034101F">
        <w:t xml:space="preserve"> kopírování </w:t>
      </w:r>
      <w:r w:rsidR="007A3670">
        <w:t>listiny A4 černobíle, jednostranně</w:t>
      </w:r>
      <w:r w:rsidR="007A3670">
        <w:tab/>
      </w:r>
      <w:r w:rsidR="0034101F">
        <w:t>2,00</w:t>
      </w:r>
    </w:p>
    <w:p w:rsidR="00714517" w:rsidRDefault="00714517" w:rsidP="00CA2FEE">
      <w:pPr>
        <w:numPr>
          <w:ilvl w:val="0"/>
          <w:numId w:val="18"/>
        </w:numPr>
        <w:tabs>
          <w:tab w:val="clear" w:pos="720"/>
          <w:tab w:val="num" w:pos="360"/>
          <w:tab w:val="decimal" w:pos="8100"/>
        </w:tabs>
        <w:ind w:hanging="720"/>
      </w:pPr>
      <w:r>
        <w:t xml:space="preserve">Tisk </w:t>
      </w:r>
      <w:r w:rsidR="00486DA2">
        <w:t>nebo</w:t>
      </w:r>
      <w:r>
        <w:t xml:space="preserve"> kopírování listiny A4 černobíle, oboustranně</w:t>
      </w:r>
      <w:r>
        <w:tab/>
        <w:t>4,00</w:t>
      </w:r>
    </w:p>
    <w:p w:rsidR="007A3670" w:rsidRDefault="007A3670">
      <w:pPr>
        <w:tabs>
          <w:tab w:val="left" w:pos="360"/>
          <w:tab w:val="left" w:pos="7200"/>
        </w:tabs>
      </w:pPr>
    </w:p>
    <w:p w:rsidR="007A3670" w:rsidRDefault="0034101F" w:rsidP="00CA2FEE">
      <w:pPr>
        <w:numPr>
          <w:ilvl w:val="0"/>
          <w:numId w:val="18"/>
        </w:numPr>
        <w:tabs>
          <w:tab w:val="clear" w:pos="720"/>
          <w:tab w:val="num" w:pos="360"/>
          <w:tab w:val="decimal" w:pos="8100"/>
        </w:tabs>
        <w:ind w:hanging="720"/>
      </w:pPr>
      <w:r>
        <w:t xml:space="preserve">Tisk </w:t>
      </w:r>
      <w:r w:rsidR="00486DA2">
        <w:t>nebo</w:t>
      </w:r>
      <w:r>
        <w:t xml:space="preserve"> kopírování </w:t>
      </w:r>
      <w:r w:rsidR="007A3670">
        <w:t xml:space="preserve">listiny </w:t>
      </w:r>
      <w:r w:rsidR="00714517">
        <w:t>A</w:t>
      </w:r>
      <w:r w:rsidR="00F27EF8">
        <w:t>4</w:t>
      </w:r>
      <w:r w:rsidR="00714517">
        <w:t xml:space="preserve"> </w:t>
      </w:r>
      <w:r w:rsidR="007A3670">
        <w:t>barevně, jednostranně</w:t>
      </w:r>
      <w:r w:rsidR="007A3670">
        <w:tab/>
        <w:t>4,00</w:t>
      </w:r>
    </w:p>
    <w:p w:rsidR="00714517" w:rsidRDefault="00714517" w:rsidP="00CA2FEE">
      <w:pPr>
        <w:numPr>
          <w:ilvl w:val="0"/>
          <w:numId w:val="18"/>
        </w:numPr>
        <w:tabs>
          <w:tab w:val="clear" w:pos="720"/>
          <w:tab w:val="num" w:pos="360"/>
          <w:tab w:val="decimal" w:pos="8100"/>
        </w:tabs>
        <w:ind w:hanging="720"/>
      </w:pPr>
      <w:r>
        <w:t xml:space="preserve">Tisk </w:t>
      </w:r>
      <w:r w:rsidR="00486DA2">
        <w:t>nebo</w:t>
      </w:r>
      <w:r>
        <w:t xml:space="preserve"> kopírování listiny A</w:t>
      </w:r>
      <w:r w:rsidR="00F27EF8">
        <w:t>4</w:t>
      </w:r>
      <w:r>
        <w:t xml:space="preserve"> barevně, oboustranně</w:t>
      </w:r>
      <w:r>
        <w:tab/>
        <w:t>8,00</w:t>
      </w:r>
    </w:p>
    <w:p w:rsidR="00714517" w:rsidRDefault="00714517" w:rsidP="00CA2FEE">
      <w:pPr>
        <w:tabs>
          <w:tab w:val="decimal" w:pos="8100"/>
        </w:tabs>
        <w:ind w:left="720"/>
      </w:pPr>
    </w:p>
    <w:p w:rsidR="00714517" w:rsidRDefault="00714517" w:rsidP="00CA2FEE">
      <w:pPr>
        <w:numPr>
          <w:ilvl w:val="0"/>
          <w:numId w:val="18"/>
        </w:numPr>
        <w:tabs>
          <w:tab w:val="clear" w:pos="720"/>
          <w:tab w:val="num" w:pos="360"/>
          <w:tab w:val="decimal" w:pos="8100"/>
        </w:tabs>
        <w:ind w:hanging="720"/>
      </w:pPr>
      <w:r>
        <w:t>Tisk a kopírování jiných (zejména atypických) formátů</w:t>
      </w:r>
      <w:r w:rsidR="003A22AC">
        <w:t xml:space="preserve"> u externího subjektu</w:t>
      </w:r>
      <w:r>
        <w:t xml:space="preserve">: </w:t>
      </w:r>
      <w:r w:rsidR="003A22AC">
        <w:br/>
      </w:r>
      <w:r>
        <w:t>dle skutečných nákladů</w:t>
      </w:r>
    </w:p>
    <w:p w:rsidR="00381444" w:rsidRDefault="00381444" w:rsidP="00CA2FEE">
      <w:pPr>
        <w:tabs>
          <w:tab w:val="decimal" w:pos="8100"/>
        </w:tabs>
        <w:ind w:left="720"/>
      </w:pPr>
    </w:p>
    <w:p w:rsidR="0034101F" w:rsidRDefault="00714517" w:rsidP="00CA2FEE">
      <w:pPr>
        <w:numPr>
          <w:ilvl w:val="0"/>
          <w:numId w:val="18"/>
        </w:numPr>
        <w:tabs>
          <w:tab w:val="clear" w:pos="720"/>
          <w:tab w:val="num" w:pos="360"/>
          <w:tab w:val="decimal" w:pos="8100"/>
        </w:tabs>
        <w:ind w:hanging="720"/>
      </w:pPr>
      <w:r>
        <w:t>Skenování listiny A4, jednostranně</w:t>
      </w:r>
      <w:r>
        <w:tab/>
        <w:t>1,50</w:t>
      </w:r>
    </w:p>
    <w:p w:rsidR="00714517" w:rsidRDefault="00486DA2" w:rsidP="00CA2FEE">
      <w:pPr>
        <w:numPr>
          <w:ilvl w:val="0"/>
          <w:numId w:val="18"/>
        </w:numPr>
        <w:tabs>
          <w:tab w:val="clear" w:pos="720"/>
          <w:tab w:val="num" w:pos="360"/>
          <w:tab w:val="decimal" w:pos="8100"/>
        </w:tabs>
        <w:ind w:hanging="720"/>
      </w:pPr>
      <w:r>
        <w:t>Skenování listiny A4, oboustranně</w:t>
      </w:r>
      <w:r>
        <w:tab/>
        <w:t>3,00</w:t>
      </w:r>
    </w:p>
    <w:p w:rsidR="007A3670" w:rsidRDefault="007A3670">
      <w:pPr>
        <w:tabs>
          <w:tab w:val="left" w:pos="360"/>
          <w:tab w:val="left" w:pos="7200"/>
        </w:tabs>
      </w:pPr>
    </w:p>
    <w:p w:rsidR="0034101F" w:rsidRPr="00CA2FEE" w:rsidRDefault="0034101F">
      <w:pPr>
        <w:tabs>
          <w:tab w:val="left" w:pos="360"/>
          <w:tab w:val="left" w:pos="7200"/>
        </w:tabs>
        <w:rPr>
          <w:b/>
        </w:rPr>
      </w:pPr>
      <w:r w:rsidRPr="00CA2FEE">
        <w:rPr>
          <w:b/>
        </w:rPr>
        <w:t>II. Pořízení technického nosiče dat</w:t>
      </w:r>
    </w:p>
    <w:p w:rsidR="00381444" w:rsidRDefault="00381444" w:rsidP="00714517">
      <w:pPr>
        <w:tabs>
          <w:tab w:val="left" w:pos="360"/>
          <w:tab w:val="left" w:pos="7200"/>
        </w:tabs>
      </w:pPr>
    </w:p>
    <w:p w:rsidR="007A3670" w:rsidRDefault="007A3670" w:rsidP="00CA2FEE">
      <w:pPr>
        <w:tabs>
          <w:tab w:val="left" w:pos="360"/>
          <w:tab w:val="decimal" w:pos="8100"/>
        </w:tabs>
      </w:pPr>
      <w:r>
        <w:t>CD-ROM</w:t>
      </w:r>
      <w:r w:rsidR="0034101F">
        <w:t xml:space="preserve"> (1 kus)</w:t>
      </w:r>
      <w:r>
        <w:tab/>
      </w:r>
      <w:r w:rsidR="00AF6C6E">
        <w:t>20,00</w:t>
      </w:r>
    </w:p>
    <w:p w:rsidR="00381444" w:rsidRDefault="00381444">
      <w:pPr>
        <w:tabs>
          <w:tab w:val="left" w:pos="360"/>
          <w:tab w:val="left" w:pos="7200"/>
        </w:tabs>
      </w:pPr>
    </w:p>
    <w:p w:rsidR="007A3670" w:rsidRPr="00CA2FEE" w:rsidRDefault="0034101F">
      <w:pPr>
        <w:tabs>
          <w:tab w:val="left" w:pos="360"/>
          <w:tab w:val="left" w:pos="7200"/>
        </w:tabs>
        <w:rPr>
          <w:b/>
        </w:rPr>
      </w:pPr>
      <w:r w:rsidRPr="00CA2FEE">
        <w:rPr>
          <w:b/>
        </w:rPr>
        <w:t>I</w:t>
      </w:r>
      <w:r w:rsidR="00CE7BE5">
        <w:rPr>
          <w:b/>
        </w:rPr>
        <w:t>II</w:t>
      </w:r>
      <w:r w:rsidRPr="00CA2FEE">
        <w:rPr>
          <w:b/>
        </w:rPr>
        <w:t xml:space="preserve">. </w:t>
      </w:r>
      <w:r w:rsidR="00381444" w:rsidRPr="00CA2FEE">
        <w:rPr>
          <w:b/>
        </w:rPr>
        <w:t>Odeslání informací žadateli</w:t>
      </w:r>
    </w:p>
    <w:p w:rsidR="00381444" w:rsidRDefault="00381444" w:rsidP="00CA2FEE">
      <w:pPr>
        <w:tabs>
          <w:tab w:val="decimal" w:pos="7380"/>
        </w:tabs>
      </w:pPr>
    </w:p>
    <w:p w:rsidR="007A3670" w:rsidRDefault="007A3670" w:rsidP="00CA2FEE">
      <w:pPr>
        <w:tabs>
          <w:tab w:val="decimal" w:pos="7380"/>
        </w:tabs>
      </w:pPr>
      <w:r>
        <w:t xml:space="preserve">Náklady na poštovní služby </w:t>
      </w:r>
      <w:r w:rsidR="00381444">
        <w:t>budou účtovány dle skutečných nákladů</w:t>
      </w:r>
    </w:p>
    <w:p w:rsidR="00381444" w:rsidRDefault="00381444">
      <w:pPr>
        <w:tabs>
          <w:tab w:val="left" w:pos="7200"/>
        </w:tabs>
      </w:pPr>
    </w:p>
    <w:p w:rsidR="007A3670" w:rsidRPr="00CA2FEE" w:rsidRDefault="00CE7BE5">
      <w:pPr>
        <w:tabs>
          <w:tab w:val="left" w:pos="7200"/>
        </w:tabs>
        <w:rPr>
          <w:b/>
        </w:rPr>
      </w:pPr>
      <w:r>
        <w:rPr>
          <w:b/>
        </w:rPr>
        <w:t>I</w:t>
      </w:r>
      <w:r w:rsidR="0034101F" w:rsidRPr="00CA2FEE">
        <w:rPr>
          <w:b/>
        </w:rPr>
        <w:t xml:space="preserve">V. </w:t>
      </w:r>
      <w:r w:rsidR="00381444" w:rsidRPr="00CA2FEE">
        <w:rPr>
          <w:b/>
        </w:rPr>
        <w:t>Úhrada za mimořádně rozsáhlé vyhledávání informací</w:t>
      </w:r>
    </w:p>
    <w:p w:rsidR="00381444" w:rsidRDefault="00381444" w:rsidP="00CA2FEE">
      <w:pPr>
        <w:pBdr>
          <w:bottom w:val="single" w:sz="12" w:space="1" w:color="auto"/>
        </w:pBdr>
        <w:tabs>
          <w:tab w:val="decimal" w:pos="8100"/>
        </w:tabs>
      </w:pPr>
    </w:p>
    <w:p w:rsidR="007A3670" w:rsidRDefault="003A22AC" w:rsidP="00CA2FEE">
      <w:pPr>
        <w:pBdr>
          <w:bottom w:val="single" w:sz="12" w:space="1" w:color="auto"/>
        </w:pBdr>
        <w:tabs>
          <w:tab w:val="decimal" w:pos="8100"/>
        </w:tabs>
      </w:pPr>
      <w:r>
        <w:t xml:space="preserve">Každá </w:t>
      </w:r>
      <w:r w:rsidR="00E656A1">
        <w:t xml:space="preserve">započatá </w:t>
      </w:r>
      <w:r>
        <w:t>hodina</w:t>
      </w:r>
      <w:r w:rsidR="007A3670">
        <w:t xml:space="preserve"> mimořádně rozsáhlé</w:t>
      </w:r>
      <w:r>
        <w:t>ho</w:t>
      </w:r>
      <w:r w:rsidR="007A3670">
        <w:t xml:space="preserve"> vyhledávání informací</w:t>
      </w:r>
      <w:r w:rsidR="007A3670">
        <w:tab/>
      </w:r>
      <w:r w:rsidR="00381444">
        <w:t>250</w:t>
      </w:r>
      <w:r w:rsidR="007A3670">
        <w:t>,00</w:t>
      </w:r>
    </w:p>
    <w:p w:rsidR="007A3670" w:rsidRDefault="007A3670">
      <w:pPr>
        <w:jc w:val="both"/>
      </w:pPr>
    </w:p>
    <w:p w:rsidR="00CE7BE5" w:rsidRDefault="00CE7BE5">
      <w:pPr>
        <w:jc w:val="both"/>
      </w:pPr>
    </w:p>
    <w:p w:rsidR="003A22AC" w:rsidRDefault="003A22AC">
      <w:pPr>
        <w:jc w:val="both"/>
      </w:pPr>
      <w:r>
        <w:t xml:space="preserve">Úhrada nebude vyžadována v případech, kdy náklady na pořízení kopií činí méně než </w:t>
      </w:r>
      <w:r w:rsidR="004A135C">
        <w:t>10</w:t>
      </w:r>
      <w:r>
        <w:t xml:space="preserve">0 Kč, jsou-li požadované informace poskytovány nejvýše na dvou kusech technického nosiče dat, anebo pokud náklady spojené s odesláním </w:t>
      </w:r>
      <w:r w:rsidR="004A135C">
        <w:t>informací žadateli nepřesáhnou 10</w:t>
      </w:r>
      <w:r>
        <w:t>0 Kč. Dále nebude úhrada vyžadována v případech, kdy mimořádně rozsáhlé vyhledávání informací ne</w:t>
      </w:r>
      <w:r w:rsidR="00E54B66">
        <w:t>představuje více</w:t>
      </w:r>
      <w:r>
        <w:t xml:space="preserve"> než 1 hodinu vyhledávání.</w:t>
      </w:r>
    </w:p>
    <w:p w:rsidR="007A3670" w:rsidRDefault="007A3670">
      <w:pPr>
        <w:tabs>
          <w:tab w:val="decimal" w:pos="1080"/>
        </w:tabs>
      </w:pPr>
    </w:p>
    <w:p w:rsidR="007A3670" w:rsidRDefault="007A3670" w:rsidP="00CA2FEE">
      <w:pPr>
        <w:tabs>
          <w:tab w:val="decimal" w:pos="1080"/>
        </w:tabs>
        <w:rPr>
          <w:sz w:val="28"/>
        </w:rPr>
      </w:pPr>
    </w:p>
    <w:sectPr w:rsidR="007A3670" w:rsidSect="00B66714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81" w:rsidRDefault="00A35F81">
      <w:r>
        <w:separator/>
      </w:r>
    </w:p>
  </w:endnote>
  <w:endnote w:type="continuationSeparator" w:id="0">
    <w:p w:rsidR="00A35F81" w:rsidRDefault="00A3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81" w:rsidRDefault="00A35F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5F81" w:rsidRDefault="00A35F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81" w:rsidRDefault="00A35F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03E2">
      <w:rPr>
        <w:rStyle w:val="slostrnky"/>
        <w:noProof/>
      </w:rPr>
      <w:t>11</w:t>
    </w:r>
    <w:r>
      <w:rPr>
        <w:rStyle w:val="slostrnky"/>
      </w:rPr>
      <w:fldChar w:fldCharType="end"/>
    </w:r>
  </w:p>
  <w:p w:rsidR="00A35F81" w:rsidRPr="00B66714" w:rsidRDefault="00A35F81">
    <w:pPr>
      <w:pStyle w:val="Zpat"/>
      <w:rPr>
        <w:rStyle w:val="slostrnky"/>
      </w:rPr>
    </w:pPr>
    <w:r w:rsidRPr="00B66714">
      <w:rPr>
        <w:rStyle w:val="slostrnky"/>
      </w:rPr>
      <w:t>SM/10/RK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81" w:rsidRDefault="00A35F81">
      <w:r>
        <w:separator/>
      </w:r>
    </w:p>
  </w:footnote>
  <w:footnote w:type="continuationSeparator" w:id="0">
    <w:p w:rsidR="00A35F81" w:rsidRDefault="00A3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5647"/>
    <w:multiLevelType w:val="hybridMultilevel"/>
    <w:tmpl w:val="42AE7A4C"/>
    <w:lvl w:ilvl="0" w:tplc="FF40D87E">
      <w:start w:val="1"/>
      <w:numFmt w:val="decimal"/>
      <w:lvlText w:val="(%1 )"/>
      <w:lvlJc w:val="left"/>
      <w:pPr>
        <w:tabs>
          <w:tab w:val="num" w:pos="2547"/>
        </w:tabs>
        <w:ind w:left="2547" w:hanging="567"/>
      </w:pPr>
      <w:rPr>
        <w:rFonts w:ascii="Times New Roman" w:hAnsi="Times New Roman" w:hint="default"/>
        <w:b w:val="0"/>
        <w:i w:val="0"/>
        <w:sz w:val="24"/>
      </w:rPr>
    </w:lvl>
    <w:lvl w:ilvl="1" w:tplc="141E17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B7328"/>
    <w:multiLevelType w:val="hybridMultilevel"/>
    <w:tmpl w:val="197615C8"/>
    <w:lvl w:ilvl="0" w:tplc="B7001B22">
      <w:start w:val="1"/>
      <w:numFmt w:val="decimal"/>
      <w:lvlText w:val="(%1 )"/>
      <w:lvlJc w:val="left"/>
      <w:pPr>
        <w:tabs>
          <w:tab w:val="num" w:pos="2547"/>
        </w:tabs>
        <w:ind w:left="2547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00368"/>
    <w:multiLevelType w:val="hybridMultilevel"/>
    <w:tmpl w:val="C64AAF02"/>
    <w:lvl w:ilvl="0" w:tplc="4D1807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7119A"/>
    <w:multiLevelType w:val="hybridMultilevel"/>
    <w:tmpl w:val="D4C2BF82"/>
    <w:lvl w:ilvl="0" w:tplc="FF40099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u w:color="FFFFFF"/>
        <w:effect w:val="none"/>
      </w:rPr>
    </w:lvl>
    <w:lvl w:ilvl="1" w:tplc="AA7499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A6F7E"/>
    <w:multiLevelType w:val="hybridMultilevel"/>
    <w:tmpl w:val="17C8D44E"/>
    <w:lvl w:ilvl="0" w:tplc="030E712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47D00"/>
    <w:multiLevelType w:val="hybridMultilevel"/>
    <w:tmpl w:val="86AAB580"/>
    <w:lvl w:ilvl="0" w:tplc="AA74992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065443"/>
    <w:multiLevelType w:val="hybridMultilevel"/>
    <w:tmpl w:val="9CC495CA"/>
    <w:lvl w:ilvl="0" w:tplc="834EF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17FAF"/>
    <w:multiLevelType w:val="hybridMultilevel"/>
    <w:tmpl w:val="7E5AD09E"/>
    <w:lvl w:ilvl="0" w:tplc="195E94B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u w:color="FFFFFF"/>
        <w:effect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C27FDC"/>
    <w:multiLevelType w:val="hybridMultilevel"/>
    <w:tmpl w:val="CF5A266C"/>
    <w:lvl w:ilvl="0" w:tplc="FF40099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u w:color="FFFFFF"/>
        <w:effect w:val="none"/>
      </w:rPr>
    </w:lvl>
    <w:lvl w:ilvl="1" w:tplc="4DCC0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C286169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8312B"/>
    <w:multiLevelType w:val="hybridMultilevel"/>
    <w:tmpl w:val="0282B48A"/>
    <w:lvl w:ilvl="0" w:tplc="87EE55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C4258"/>
    <w:multiLevelType w:val="hybridMultilevel"/>
    <w:tmpl w:val="83586E52"/>
    <w:lvl w:ilvl="0" w:tplc="BD804EB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color="FFFFFF"/>
        <w:effect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95525"/>
    <w:multiLevelType w:val="hybridMultilevel"/>
    <w:tmpl w:val="549A23CE"/>
    <w:lvl w:ilvl="0" w:tplc="603C67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B707A"/>
    <w:multiLevelType w:val="hybridMultilevel"/>
    <w:tmpl w:val="92B220DC"/>
    <w:lvl w:ilvl="0" w:tplc="FF40099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u w:color="FFFFFF"/>
        <w:effect w:val="none"/>
      </w:rPr>
    </w:lvl>
    <w:lvl w:ilvl="1" w:tplc="5656B8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E4FB4"/>
    <w:multiLevelType w:val="hybridMultilevel"/>
    <w:tmpl w:val="CE80B016"/>
    <w:lvl w:ilvl="0" w:tplc="E0909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4F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36042A"/>
    <w:multiLevelType w:val="hybridMultilevel"/>
    <w:tmpl w:val="CFF0D800"/>
    <w:lvl w:ilvl="0" w:tplc="195E94B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u w:color="FFFFFF"/>
        <w:effect w:val="none"/>
      </w:rPr>
    </w:lvl>
    <w:lvl w:ilvl="1" w:tplc="29F03A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D06FDB"/>
    <w:multiLevelType w:val="hybridMultilevel"/>
    <w:tmpl w:val="03D68792"/>
    <w:lvl w:ilvl="0" w:tplc="92682CC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u w:color="FFFFFF"/>
        <w:effect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225ACF"/>
    <w:multiLevelType w:val="hybridMultilevel"/>
    <w:tmpl w:val="004A6C66"/>
    <w:lvl w:ilvl="0" w:tplc="B7001B22">
      <w:start w:val="1"/>
      <w:numFmt w:val="decimal"/>
      <w:lvlText w:val="(%1 )"/>
      <w:lvlJc w:val="left"/>
      <w:pPr>
        <w:tabs>
          <w:tab w:val="num" w:pos="2547"/>
        </w:tabs>
        <w:ind w:left="2547" w:hanging="567"/>
      </w:pPr>
      <w:rPr>
        <w:rFonts w:ascii="Times New Roman" w:hAnsi="Times New Roman" w:hint="default"/>
        <w:b w:val="0"/>
        <w:i w:val="0"/>
        <w:sz w:val="24"/>
      </w:rPr>
    </w:lvl>
    <w:lvl w:ilvl="1" w:tplc="279849D2">
      <w:start w:val="1"/>
      <w:numFmt w:val="bullet"/>
      <w:lvlText w:val=""/>
      <w:lvlJc w:val="left"/>
      <w:pPr>
        <w:tabs>
          <w:tab w:val="num" w:pos="2293"/>
        </w:tabs>
        <w:ind w:left="2293" w:hanging="1213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F785C"/>
    <w:multiLevelType w:val="hybridMultilevel"/>
    <w:tmpl w:val="885CA5FE"/>
    <w:lvl w:ilvl="0" w:tplc="603C67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935D41"/>
    <w:multiLevelType w:val="hybridMultilevel"/>
    <w:tmpl w:val="9D4274D0"/>
    <w:lvl w:ilvl="0" w:tplc="603C67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14"/>
  </w:num>
  <w:num w:numId="7">
    <w:abstractNumId w:val="1"/>
  </w:num>
  <w:num w:numId="8">
    <w:abstractNumId w:val="16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18"/>
  </w:num>
  <w:num w:numId="14">
    <w:abstractNumId w:val="17"/>
  </w:num>
  <w:num w:numId="15">
    <w:abstractNumId w:val="15"/>
  </w:num>
  <w:num w:numId="16">
    <w:abstractNumId w:val="5"/>
  </w:num>
  <w:num w:numId="17">
    <w:abstractNumId w:val="9"/>
  </w:num>
  <w:num w:numId="18">
    <w:abstractNumId w:val="13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6E"/>
    <w:rsid w:val="00084C17"/>
    <w:rsid w:val="000B35A1"/>
    <w:rsid w:val="000D0312"/>
    <w:rsid w:val="00125074"/>
    <w:rsid w:val="001303E2"/>
    <w:rsid w:val="00162CE2"/>
    <w:rsid w:val="0018266A"/>
    <w:rsid w:val="00196CA9"/>
    <w:rsid w:val="001B06EF"/>
    <w:rsid w:val="001C1AA3"/>
    <w:rsid w:val="001D0144"/>
    <w:rsid w:val="001D62F5"/>
    <w:rsid w:val="001D67A4"/>
    <w:rsid w:val="001E6937"/>
    <w:rsid w:val="00244785"/>
    <w:rsid w:val="0025265F"/>
    <w:rsid w:val="00276B21"/>
    <w:rsid w:val="002D0DD0"/>
    <w:rsid w:val="002F1B7B"/>
    <w:rsid w:val="00300452"/>
    <w:rsid w:val="00321DC3"/>
    <w:rsid w:val="00341017"/>
    <w:rsid w:val="0034101F"/>
    <w:rsid w:val="00347C54"/>
    <w:rsid w:val="00381444"/>
    <w:rsid w:val="00397F3C"/>
    <w:rsid w:val="003A22AC"/>
    <w:rsid w:val="003D37B2"/>
    <w:rsid w:val="003D5F52"/>
    <w:rsid w:val="003F2721"/>
    <w:rsid w:val="004655FD"/>
    <w:rsid w:val="00480EE3"/>
    <w:rsid w:val="00484D5A"/>
    <w:rsid w:val="00486DA2"/>
    <w:rsid w:val="0049766E"/>
    <w:rsid w:val="004A135C"/>
    <w:rsid w:val="004B3C04"/>
    <w:rsid w:val="004B4CCA"/>
    <w:rsid w:val="0055288C"/>
    <w:rsid w:val="00556E2E"/>
    <w:rsid w:val="00581836"/>
    <w:rsid w:val="005A6AC3"/>
    <w:rsid w:val="005B1045"/>
    <w:rsid w:val="005E3D62"/>
    <w:rsid w:val="005E70F1"/>
    <w:rsid w:val="006667E0"/>
    <w:rsid w:val="006704B0"/>
    <w:rsid w:val="00674797"/>
    <w:rsid w:val="0068351C"/>
    <w:rsid w:val="006F5B3E"/>
    <w:rsid w:val="00714517"/>
    <w:rsid w:val="00736EEC"/>
    <w:rsid w:val="007A3670"/>
    <w:rsid w:val="007B1638"/>
    <w:rsid w:val="007D24C2"/>
    <w:rsid w:val="007D5544"/>
    <w:rsid w:val="008016CC"/>
    <w:rsid w:val="00824FD6"/>
    <w:rsid w:val="008441F9"/>
    <w:rsid w:val="00870D86"/>
    <w:rsid w:val="00873908"/>
    <w:rsid w:val="00893912"/>
    <w:rsid w:val="00894CF6"/>
    <w:rsid w:val="008A7E7E"/>
    <w:rsid w:val="008C3F46"/>
    <w:rsid w:val="008C4364"/>
    <w:rsid w:val="009040D5"/>
    <w:rsid w:val="00911136"/>
    <w:rsid w:val="0092292D"/>
    <w:rsid w:val="00953054"/>
    <w:rsid w:val="009567F6"/>
    <w:rsid w:val="009807D3"/>
    <w:rsid w:val="009B4E89"/>
    <w:rsid w:val="009C7F98"/>
    <w:rsid w:val="009D06B2"/>
    <w:rsid w:val="009D20A1"/>
    <w:rsid w:val="009E0EFE"/>
    <w:rsid w:val="009E7869"/>
    <w:rsid w:val="00A03FF8"/>
    <w:rsid w:val="00A05C10"/>
    <w:rsid w:val="00A22B69"/>
    <w:rsid w:val="00A25B15"/>
    <w:rsid w:val="00A35F81"/>
    <w:rsid w:val="00A437D3"/>
    <w:rsid w:val="00A46162"/>
    <w:rsid w:val="00A579F1"/>
    <w:rsid w:val="00AF6C6E"/>
    <w:rsid w:val="00B415FC"/>
    <w:rsid w:val="00B51031"/>
    <w:rsid w:val="00B66714"/>
    <w:rsid w:val="00BA7C4B"/>
    <w:rsid w:val="00BD3933"/>
    <w:rsid w:val="00BE4B68"/>
    <w:rsid w:val="00C31DBD"/>
    <w:rsid w:val="00C342B1"/>
    <w:rsid w:val="00C4056F"/>
    <w:rsid w:val="00C43D66"/>
    <w:rsid w:val="00C45F05"/>
    <w:rsid w:val="00C801B2"/>
    <w:rsid w:val="00CA110C"/>
    <w:rsid w:val="00CA2FEE"/>
    <w:rsid w:val="00CB30D2"/>
    <w:rsid w:val="00CB5762"/>
    <w:rsid w:val="00CC0FF5"/>
    <w:rsid w:val="00CE7BE5"/>
    <w:rsid w:val="00D03EB1"/>
    <w:rsid w:val="00D0545C"/>
    <w:rsid w:val="00D47A94"/>
    <w:rsid w:val="00DB1CFA"/>
    <w:rsid w:val="00DB1E3A"/>
    <w:rsid w:val="00DB4A3D"/>
    <w:rsid w:val="00DE30FE"/>
    <w:rsid w:val="00DE5A29"/>
    <w:rsid w:val="00DF16D7"/>
    <w:rsid w:val="00E07473"/>
    <w:rsid w:val="00E132A2"/>
    <w:rsid w:val="00E54B66"/>
    <w:rsid w:val="00E656A1"/>
    <w:rsid w:val="00E70DD7"/>
    <w:rsid w:val="00E77A88"/>
    <w:rsid w:val="00E81DD4"/>
    <w:rsid w:val="00EA316E"/>
    <w:rsid w:val="00ED5CEE"/>
    <w:rsid w:val="00F27EF8"/>
    <w:rsid w:val="00FA168A"/>
    <w:rsid w:val="00FD4BF2"/>
    <w:rsid w:val="00FD7893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F654444-A3BD-479A-B5F5-1DCC71A3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eastAsia="Arial Unicode MS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eastAsia="Arial Unicode MS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eastAsia="Arial Unicode MS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Cs w:val="20"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6" w:color="auto"/>
      </w:pBdr>
      <w:ind w:firstLine="708"/>
      <w:jc w:val="center"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pPr>
      <w:keepNext/>
      <w:jc w:val="right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Pr>
      <w:sz w:val="28"/>
    </w:rPr>
  </w:style>
  <w:style w:type="paragraph" w:styleId="Zkladntext3">
    <w:name w:val="Body Text 3"/>
    <w:basedOn w:val="Normln"/>
    <w:semiHidden/>
    <w:rPr>
      <w:i/>
      <w:iCs/>
    </w:rPr>
  </w:style>
  <w:style w:type="paragraph" w:styleId="Zkladntextodsazen2">
    <w:name w:val="Body Text Indent 2"/>
    <w:basedOn w:val="Normln"/>
    <w:semiHidden/>
    <w:pPr>
      <w:ind w:left="720"/>
    </w:pPr>
    <w:rPr>
      <w:szCs w:val="20"/>
    </w:rPr>
  </w:style>
  <w:style w:type="paragraph" w:customStyle="1" w:styleId="Normln1">
    <w:name w:val="Normální1"/>
    <w:basedOn w:val="Normln"/>
    <w:pPr>
      <w:widowControl w:val="0"/>
    </w:pPr>
    <w:rPr>
      <w:szCs w:val="20"/>
    </w:rPr>
  </w:style>
  <w:style w:type="paragraph" w:customStyle="1" w:styleId="Nadpis11">
    <w:name w:val="Nadpis 11"/>
    <w:basedOn w:val="Normln1"/>
    <w:next w:val="Normln1"/>
    <w:rPr>
      <w:b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8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540"/>
      <w:jc w:val="both"/>
    </w:pPr>
    <w:rPr>
      <w:sz w:val="28"/>
    </w:rPr>
  </w:style>
  <w:style w:type="paragraph" w:styleId="Zkladntextodsazen3">
    <w:name w:val="Body Text Indent 3"/>
    <w:basedOn w:val="Normln"/>
    <w:semiHidden/>
    <w:pPr>
      <w:ind w:left="340" w:hanging="340"/>
      <w:jc w:val="both"/>
    </w:pPr>
    <w:rPr>
      <w:b/>
      <w:bCs/>
      <w:sz w:val="28"/>
    </w:rPr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6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A3670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5A6A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A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AC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6AC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A6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85DF3259</Template>
  <TotalTime>1</TotalTime>
  <Pages>11</Pages>
  <Words>2579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 - krajský úřad</vt:lpstr>
    </vt:vector>
  </TitlesOfParts>
  <Company>Jihočeský kraj</Company>
  <LinksUpToDate>false</LinksUpToDate>
  <CharactersWithSpaces>17384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 - krajský úřad</dc:title>
  <dc:subject/>
  <dc:creator>Andrea Nádravská</dc:creator>
  <cp:keywords/>
  <dc:description/>
  <cp:lastModifiedBy>Kamila Křížová</cp:lastModifiedBy>
  <cp:revision>2</cp:revision>
  <cp:lastPrinted>2019-01-07T08:13:00Z</cp:lastPrinted>
  <dcterms:created xsi:type="dcterms:W3CDTF">2019-02-07T13:32:00Z</dcterms:created>
  <dcterms:modified xsi:type="dcterms:W3CDTF">2019-02-07T13:32:00Z</dcterms:modified>
</cp:coreProperties>
</file>